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106EA2"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8496E8B" w:rsidR="00ED3ABD" w:rsidRPr="00550B08" w:rsidRDefault="005C3028"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18</w:t>
      </w:r>
      <w:r w:rsidR="007229E3">
        <w:rPr>
          <w:rStyle w:val="Hyperlink"/>
          <w:rFonts w:ascii="Arial" w:hAnsi="Arial" w:cs="Arial"/>
          <w:b/>
          <w:bCs/>
          <w:color w:val="505050"/>
          <w:sz w:val="18"/>
          <w:szCs w:val="18"/>
          <w:u w:val="none"/>
        </w:rPr>
        <w:t xml:space="preserve"> </w:t>
      </w:r>
      <w:r w:rsidR="00790D17">
        <w:rPr>
          <w:rStyle w:val="Hyperlink"/>
          <w:rFonts w:ascii="Arial" w:hAnsi="Arial" w:cs="Arial"/>
          <w:b/>
          <w:bCs/>
          <w:color w:val="505050"/>
          <w:sz w:val="18"/>
          <w:szCs w:val="18"/>
          <w:u w:val="none"/>
        </w:rPr>
        <w:t>November</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2DECAAF7" w14:textId="19BBBE59" w:rsidR="00566CAE" w:rsidRDefault="0034594F" w:rsidP="00C545F0">
      <w:pPr>
        <w:jc w:val="center"/>
        <w:rPr>
          <w:rFonts w:ascii="Arial" w:hAnsi="Arial" w:cs="Arial"/>
          <w:b/>
          <w:bCs/>
          <w:sz w:val="32"/>
          <w:szCs w:val="32"/>
        </w:rPr>
      </w:pPr>
      <w:r>
        <w:rPr>
          <w:rFonts w:ascii="Arial" w:hAnsi="Arial" w:cs="Arial"/>
          <w:b/>
          <w:bCs/>
          <w:sz w:val="32"/>
          <w:szCs w:val="32"/>
        </w:rPr>
        <w:t>+45pp increase in operators staying open during lockdown 2.0, says Lumina Intelligence</w:t>
      </w:r>
    </w:p>
    <w:p w14:paraId="61751DE2" w14:textId="77777777" w:rsidR="00987209" w:rsidRPr="00550B08" w:rsidRDefault="00987209" w:rsidP="00C545F0">
      <w:pPr>
        <w:jc w:val="center"/>
        <w:rPr>
          <w:rFonts w:ascii="Arial" w:hAnsi="Arial" w:cs="Arial"/>
        </w:rPr>
      </w:pPr>
    </w:p>
    <w:p w14:paraId="659C27BA" w14:textId="34EB2572" w:rsidR="0034594F" w:rsidRDefault="005524A4" w:rsidP="007446FD">
      <w:pPr>
        <w:rPr>
          <w:rFonts w:ascii="Arial" w:hAnsi="Arial" w:cs="Arial"/>
          <w:sz w:val="20"/>
          <w:szCs w:val="20"/>
        </w:rPr>
      </w:pPr>
      <w:r>
        <w:rPr>
          <w:rFonts w:ascii="Arial" w:hAnsi="Arial" w:cs="Arial"/>
          <w:sz w:val="20"/>
          <w:szCs w:val="20"/>
        </w:rPr>
        <w:t xml:space="preserve">New research using </w:t>
      </w:r>
      <w:r w:rsidR="003B0DC6">
        <w:rPr>
          <w:rFonts w:ascii="Arial" w:hAnsi="Arial" w:cs="Arial"/>
          <w:sz w:val="20"/>
          <w:szCs w:val="20"/>
        </w:rPr>
        <w:t>Lumina Intelligence’s Operator Data Index</w:t>
      </w:r>
      <w:r>
        <w:rPr>
          <w:rFonts w:ascii="Arial" w:hAnsi="Arial" w:cs="Arial"/>
          <w:sz w:val="20"/>
          <w:szCs w:val="20"/>
        </w:rPr>
        <w:t xml:space="preserve"> indicates a</w:t>
      </w:r>
      <w:r w:rsidR="0034594F">
        <w:rPr>
          <w:rFonts w:ascii="Arial" w:hAnsi="Arial" w:cs="Arial"/>
          <w:sz w:val="20"/>
          <w:szCs w:val="20"/>
        </w:rPr>
        <w:t xml:space="preserve"> 45 percentage points increase in the proportion of branded hospitality operators offering takeaway and/or delivery services during this lockdown versus the start of the March lockdown.</w:t>
      </w:r>
    </w:p>
    <w:p w14:paraId="5F304BE5" w14:textId="7BACFFB4" w:rsidR="0034594F" w:rsidRDefault="0034594F" w:rsidP="007446FD">
      <w:pPr>
        <w:rPr>
          <w:rFonts w:ascii="Arial" w:hAnsi="Arial" w:cs="Arial"/>
          <w:sz w:val="20"/>
          <w:szCs w:val="20"/>
        </w:rPr>
      </w:pPr>
      <w:r>
        <w:rPr>
          <w:rFonts w:ascii="Arial" w:hAnsi="Arial" w:cs="Arial"/>
          <w:sz w:val="20"/>
          <w:szCs w:val="20"/>
        </w:rPr>
        <w:t xml:space="preserve">On March </w:t>
      </w:r>
      <w:r w:rsidR="009D081A">
        <w:rPr>
          <w:rFonts w:ascii="Arial" w:hAnsi="Arial" w:cs="Arial"/>
          <w:sz w:val="20"/>
          <w:szCs w:val="20"/>
        </w:rPr>
        <w:t>24,</w:t>
      </w:r>
      <w:r>
        <w:rPr>
          <w:rFonts w:ascii="Arial" w:hAnsi="Arial" w:cs="Arial"/>
          <w:sz w:val="20"/>
          <w:szCs w:val="20"/>
        </w:rPr>
        <w:t xml:space="preserve"> 2020, when the UK entered lockdown for the first time, only 19% of branded operators </w:t>
      </w:r>
      <w:r w:rsidR="00F63594">
        <w:rPr>
          <w:rFonts w:ascii="Arial" w:hAnsi="Arial" w:cs="Arial"/>
          <w:sz w:val="20"/>
          <w:szCs w:val="20"/>
        </w:rPr>
        <w:t xml:space="preserve">remained open by </w:t>
      </w:r>
      <w:r>
        <w:rPr>
          <w:rFonts w:ascii="Arial" w:hAnsi="Arial" w:cs="Arial"/>
          <w:sz w:val="20"/>
          <w:szCs w:val="20"/>
        </w:rPr>
        <w:t>offer</w:t>
      </w:r>
      <w:r w:rsidR="00F63594">
        <w:rPr>
          <w:rFonts w:ascii="Arial" w:hAnsi="Arial" w:cs="Arial"/>
          <w:sz w:val="20"/>
          <w:szCs w:val="20"/>
        </w:rPr>
        <w:t>ing</w:t>
      </w:r>
      <w:r>
        <w:rPr>
          <w:rFonts w:ascii="Arial" w:hAnsi="Arial" w:cs="Arial"/>
          <w:sz w:val="20"/>
          <w:szCs w:val="20"/>
        </w:rPr>
        <w:t xml:space="preserve"> a takeaway and/or delivery service. In comparison, 64% of branded operators are offering </w:t>
      </w:r>
      <w:r w:rsidR="00F63594">
        <w:rPr>
          <w:rFonts w:ascii="Arial" w:hAnsi="Arial" w:cs="Arial"/>
          <w:sz w:val="20"/>
          <w:szCs w:val="20"/>
        </w:rPr>
        <w:t>at least one of these</w:t>
      </w:r>
      <w:r>
        <w:rPr>
          <w:rFonts w:ascii="Arial" w:hAnsi="Arial" w:cs="Arial"/>
          <w:sz w:val="20"/>
          <w:szCs w:val="20"/>
        </w:rPr>
        <w:t xml:space="preserve"> service</w:t>
      </w:r>
      <w:r w:rsidR="00F63594">
        <w:rPr>
          <w:rFonts w:ascii="Arial" w:hAnsi="Arial" w:cs="Arial"/>
          <w:sz w:val="20"/>
          <w:szCs w:val="20"/>
        </w:rPr>
        <w:t>s</w:t>
      </w:r>
      <w:r>
        <w:rPr>
          <w:rFonts w:ascii="Arial" w:hAnsi="Arial" w:cs="Arial"/>
          <w:sz w:val="20"/>
          <w:szCs w:val="20"/>
        </w:rPr>
        <w:t xml:space="preserve"> in England during the current lockdown period. </w:t>
      </w:r>
    </w:p>
    <w:p w14:paraId="1EC9B672" w14:textId="6CFD176B" w:rsidR="009D081A" w:rsidRDefault="00AB4CBA" w:rsidP="007446FD">
      <w:pPr>
        <w:rPr>
          <w:rFonts w:ascii="Arial" w:hAnsi="Arial" w:cs="Arial"/>
          <w:sz w:val="20"/>
          <w:szCs w:val="20"/>
        </w:rPr>
      </w:pPr>
      <w:r>
        <w:rPr>
          <w:rFonts w:ascii="Arial" w:hAnsi="Arial" w:cs="Arial"/>
          <w:sz w:val="20"/>
          <w:szCs w:val="20"/>
        </w:rPr>
        <w:t>The below table highlights the proportion of branded operators offering takeaway and/or delivery during the current lockdown by channel:</w:t>
      </w:r>
    </w:p>
    <w:tbl>
      <w:tblPr>
        <w:tblStyle w:val="TableGrid"/>
        <w:tblW w:w="0" w:type="auto"/>
        <w:tblLook w:val="04A0" w:firstRow="1" w:lastRow="0" w:firstColumn="1" w:lastColumn="0" w:noHBand="0" w:noVBand="1"/>
      </w:tblPr>
      <w:tblGrid>
        <w:gridCol w:w="3515"/>
        <w:gridCol w:w="1020"/>
      </w:tblGrid>
      <w:tr w:rsidR="00AB4CBA" w14:paraId="71750D78" w14:textId="77777777" w:rsidTr="00AB4CBA">
        <w:trPr>
          <w:trHeight w:val="271"/>
        </w:trPr>
        <w:tc>
          <w:tcPr>
            <w:tcW w:w="3515" w:type="dxa"/>
          </w:tcPr>
          <w:p w14:paraId="22106912" w14:textId="423AEE64" w:rsidR="00AB4CBA" w:rsidRDefault="00AB4CBA" w:rsidP="007446FD">
            <w:pPr>
              <w:rPr>
                <w:rFonts w:ascii="Arial" w:hAnsi="Arial" w:cs="Arial"/>
                <w:sz w:val="20"/>
                <w:szCs w:val="20"/>
              </w:rPr>
            </w:pPr>
            <w:r>
              <w:rPr>
                <w:rFonts w:ascii="Arial" w:hAnsi="Arial" w:cs="Arial"/>
                <w:sz w:val="20"/>
                <w:szCs w:val="20"/>
              </w:rPr>
              <w:t>Bakeries</w:t>
            </w:r>
          </w:p>
        </w:tc>
        <w:tc>
          <w:tcPr>
            <w:tcW w:w="1020" w:type="dxa"/>
          </w:tcPr>
          <w:p w14:paraId="6A9BAE27" w14:textId="7F24AA08" w:rsidR="00AB4CBA" w:rsidRDefault="00AB4CBA" w:rsidP="007446FD">
            <w:pPr>
              <w:rPr>
                <w:rFonts w:ascii="Arial" w:hAnsi="Arial" w:cs="Arial"/>
                <w:sz w:val="20"/>
                <w:szCs w:val="20"/>
              </w:rPr>
            </w:pPr>
            <w:r>
              <w:rPr>
                <w:rFonts w:ascii="Arial" w:hAnsi="Arial" w:cs="Arial"/>
                <w:sz w:val="20"/>
                <w:szCs w:val="20"/>
              </w:rPr>
              <w:t>69%</w:t>
            </w:r>
          </w:p>
        </w:tc>
      </w:tr>
      <w:tr w:rsidR="00AB4CBA" w14:paraId="256FB8C4" w14:textId="77777777" w:rsidTr="00AB4CBA">
        <w:trPr>
          <w:trHeight w:val="271"/>
        </w:trPr>
        <w:tc>
          <w:tcPr>
            <w:tcW w:w="3515" w:type="dxa"/>
          </w:tcPr>
          <w:p w14:paraId="3292A5BD" w14:textId="025FF4C8" w:rsidR="00AB4CBA" w:rsidRDefault="00AB4CBA" w:rsidP="007446FD">
            <w:pPr>
              <w:rPr>
                <w:rFonts w:ascii="Arial" w:hAnsi="Arial" w:cs="Arial"/>
                <w:sz w:val="20"/>
                <w:szCs w:val="20"/>
              </w:rPr>
            </w:pPr>
            <w:r>
              <w:rPr>
                <w:rFonts w:ascii="Arial" w:hAnsi="Arial" w:cs="Arial"/>
                <w:sz w:val="20"/>
                <w:szCs w:val="20"/>
              </w:rPr>
              <w:t>Branded restaurants</w:t>
            </w:r>
          </w:p>
        </w:tc>
        <w:tc>
          <w:tcPr>
            <w:tcW w:w="1020" w:type="dxa"/>
          </w:tcPr>
          <w:p w14:paraId="3EED01ED" w14:textId="51320C7D" w:rsidR="00AB4CBA" w:rsidRDefault="00AB4CBA" w:rsidP="007446FD">
            <w:pPr>
              <w:rPr>
                <w:rFonts w:ascii="Arial" w:hAnsi="Arial" w:cs="Arial"/>
                <w:sz w:val="20"/>
                <w:szCs w:val="20"/>
              </w:rPr>
            </w:pPr>
            <w:r>
              <w:rPr>
                <w:rFonts w:ascii="Arial" w:hAnsi="Arial" w:cs="Arial"/>
                <w:sz w:val="20"/>
                <w:szCs w:val="20"/>
              </w:rPr>
              <w:t>68%</w:t>
            </w:r>
          </w:p>
        </w:tc>
      </w:tr>
      <w:tr w:rsidR="00AB4CBA" w14:paraId="4F924C68" w14:textId="77777777" w:rsidTr="00AB4CBA">
        <w:trPr>
          <w:trHeight w:val="271"/>
        </w:trPr>
        <w:tc>
          <w:tcPr>
            <w:tcW w:w="3515" w:type="dxa"/>
          </w:tcPr>
          <w:p w14:paraId="4A0FFE9C" w14:textId="6270E98B" w:rsidR="00AB4CBA" w:rsidRDefault="00AB4CBA" w:rsidP="007446FD">
            <w:pPr>
              <w:rPr>
                <w:rFonts w:ascii="Arial" w:hAnsi="Arial" w:cs="Arial"/>
                <w:sz w:val="20"/>
                <w:szCs w:val="20"/>
              </w:rPr>
            </w:pPr>
            <w:r>
              <w:rPr>
                <w:rFonts w:ascii="Arial" w:hAnsi="Arial" w:cs="Arial"/>
                <w:sz w:val="20"/>
                <w:szCs w:val="20"/>
              </w:rPr>
              <w:t>Coffee shops/cafes</w:t>
            </w:r>
          </w:p>
        </w:tc>
        <w:tc>
          <w:tcPr>
            <w:tcW w:w="1020" w:type="dxa"/>
          </w:tcPr>
          <w:p w14:paraId="62A7847B" w14:textId="2C16564B" w:rsidR="00AB4CBA" w:rsidRDefault="00AB4CBA" w:rsidP="007446FD">
            <w:pPr>
              <w:rPr>
                <w:rFonts w:ascii="Arial" w:hAnsi="Arial" w:cs="Arial"/>
                <w:sz w:val="20"/>
                <w:szCs w:val="20"/>
              </w:rPr>
            </w:pPr>
            <w:r>
              <w:rPr>
                <w:rFonts w:ascii="Arial" w:hAnsi="Arial" w:cs="Arial"/>
                <w:sz w:val="20"/>
                <w:szCs w:val="20"/>
              </w:rPr>
              <w:t>65%</w:t>
            </w:r>
          </w:p>
        </w:tc>
      </w:tr>
      <w:tr w:rsidR="00AB4CBA" w14:paraId="08F58535" w14:textId="77777777" w:rsidTr="00AB4CBA">
        <w:trPr>
          <w:trHeight w:val="271"/>
        </w:trPr>
        <w:tc>
          <w:tcPr>
            <w:tcW w:w="3515" w:type="dxa"/>
          </w:tcPr>
          <w:p w14:paraId="3A8A16EF" w14:textId="26F901D3" w:rsidR="00AB4CBA" w:rsidRDefault="00AB4CBA" w:rsidP="007446FD">
            <w:pPr>
              <w:rPr>
                <w:rFonts w:ascii="Arial" w:hAnsi="Arial" w:cs="Arial"/>
                <w:sz w:val="20"/>
                <w:szCs w:val="20"/>
              </w:rPr>
            </w:pPr>
            <w:r>
              <w:rPr>
                <w:rFonts w:ascii="Arial" w:hAnsi="Arial" w:cs="Arial"/>
                <w:sz w:val="20"/>
                <w:szCs w:val="20"/>
              </w:rPr>
              <w:t>Contemporary fast food restaurants</w:t>
            </w:r>
          </w:p>
        </w:tc>
        <w:tc>
          <w:tcPr>
            <w:tcW w:w="1020" w:type="dxa"/>
          </w:tcPr>
          <w:p w14:paraId="5E9EB0E7" w14:textId="0A8DBAF6" w:rsidR="00AB4CBA" w:rsidRDefault="00AB4CBA" w:rsidP="007446FD">
            <w:pPr>
              <w:rPr>
                <w:rFonts w:ascii="Arial" w:hAnsi="Arial" w:cs="Arial"/>
                <w:sz w:val="20"/>
                <w:szCs w:val="20"/>
              </w:rPr>
            </w:pPr>
            <w:r>
              <w:rPr>
                <w:rFonts w:ascii="Arial" w:hAnsi="Arial" w:cs="Arial"/>
                <w:sz w:val="20"/>
                <w:szCs w:val="20"/>
              </w:rPr>
              <w:t>73%</w:t>
            </w:r>
          </w:p>
        </w:tc>
      </w:tr>
      <w:tr w:rsidR="00AB4CBA" w14:paraId="6914F213" w14:textId="77777777" w:rsidTr="00AB4CBA">
        <w:trPr>
          <w:trHeight w:val="271"/>
        </w:trPr>
        <w:tc>
          <w:tcPr>
            <w:tcW w:w="3515" w:type="dxa"/>
          </w:tcPr>
          <w:p w14:paraId="4E03FC53" w14:textId="74595F9C" w:rsidR="00AB4CBA" w:rsidRDefault="00AB4CBA" w:rsidP="007446FD">
            <w:pPr>
              <w:rPr>
                <w:rFonts w:ascii="Arial" w:hAnsi="Arial" w:cs="Arial"/>
                <w:sz w:val="20"/>
                <w:szCs w:val="20"/>
              </w:rPr>
            </w:pPr>
            <w:r>
              <w:rPr>
                <w:rFonts w:ascii="Arial" w:hAnsi="Arial" w:cs="Arial"/>
                <w:sz w:val="20"/>
                <w:szCs w:val="20"/>
              </w:rPr>
              <w:t>Dessert parlours</w:t>
            </w:r>
          </w:p>
        </w:tc>
        <w:tc>
          <w:tcPr>
            <w:tcW w:w="1020" w:type="dxa"/>
          </w:tcPr>
          <w:p w14:paraId="09F3CD3A" w14:textId="4AC5FCFA" w:rsidR="00AB4CBA" w:rsidRDefault="00AB4CBA" w:rsidP="007446FD">
            <w:pPr>
              <w:rPr>
                <w:rFonts w:ascii="Arial" w:hAnsi="Arial" w:cs="Arial"/>
                <w:sz w:val="20"/>
                <w:szCs w:val="20"/>
              </w:rPr>
            </w:pPr>
            <w:r>
              <w:rPr>
                <w:rFonts w:ascii="Arial" w:hAnsi="Arial" w:cs="Arial"/>
                <w:sz w:val="20"/>
                <w:szCs w:val="20"/>
              </w:rPr>
              <w:t>100%</w:t>
            </w:r>
          </w:p>
        </w:tc>
      </w:tr>
      <w:tr w:rsidR="00AB4CBA" w14:paraId="62BCC6E4" w14:textId="77777777" w:rsidTr="00AB4CBA">
        <w:trPr>
          <w:trHeight w:val="271"/>
        </w:trPr>
        <w:tc>
          <w:tcPr>
            <w:tcW w:w="3515" w:type="dxa"/>
          </w:tcPr>
          <w:p w14:paraId="6397B218" w14:textId="552A139C" w:rsidR="00AB4CBA" w:rsidRDefault="00AB4CBA" w:rsidP="007446FD">
            <w:pPr>
              <w:rPr>
                <w:rFonts w:ascii="Arial" w:hAnsi="Arial" w:cs="Arial"/>
                <w:sz w:val="20"/>
                <w:szCs w:val="20"/>
              </w:rPr>
            </w:pPr>
            <w:r>
              <w:rPr>
                <w:rFonts w:ascii="Arial" w:hAnsi="Arial" w:cs="Arial"/>
                <w:sz w:val="20"/>
                <w:szCs w:val="20"/>
              </w:rPr>
              <w:t>Pub/bar restaurants</w:t>
            </w:r>
          </w:p>
        </w:tc>
        <w:tc>
          <w:tcPr>
            <w:tcW w:w="1020" w:type="dxa"/>
          </w:tcPr>
          <w:p w14:paraId="4D9831D6" w14:textId="50DF6AFA" w:rsidR="00AB4CBA" w:rsidRDefault="00AB4CBA" w:rsidP="007446FD">
            <w:pPr>
              <w:rPr>
                <w:rFonts w:ascii="Arial" w:hAnsi="Arial" w:cs="Arial"/>
                <w:sz w:val="20"/>
                <w:szCs w:val="20"/>
              </w:rPr>
            </w:pPr>
            <w:r>
              <w:rPr>
                <w:rFonts w:ascii="Arial" w:hAnsi="Arial" w:cs="Arial"/>
                <w:sz w:val="20"/>
                <w:szCs w:val="20"/>
              </w:rPr>
              <w:t>35%</w:t>
            </w:r>
          </w:p>
        </w:tc>
      </w:tr>
      <w:tr w:rsidR="00AB4CBA" w14:paraId="48D0153D" w14:textId="77777777" w:rsidTr="00AB4CBA">
        <w:trPr>
          <w:trHeight w:val="271"/>
        </w:trPr>
        <w:tc>
          <w:tcPr>
            <w:tcW w:w="3515" w:type="dxa"/>
          </w:tcPr>
          <w:p w14:paraId="7F270519" w14:textId="5432FA15" w:rsidR="00AB4CBA" w:rsidRDefault="00AB4CBA" w:rsidP="007446FD">
            <w:pPr>
              <w:rPr>
                <w:rFonts w:ascii="Arial" w:hAnsi="Arial" w:cs="Arial"/>
                <w:sz w:val="20"/>
                <w:szCs w:val="20"/>
              </w:rPr>
            </w:pPr>
            <w:r>
              <w:rPr>
                <w:rFonts w:ascii="Arial" w:hAnsi="Arial" w:cs="Arial"/>
                <w:sz w:val="20"/>
                <w:szCs w:val="20"/>
              </w:rPr>
              <w:t>Traditional fast food restaurants</w:t>
            </w:r>
          </w:p>
        </w:tc>
        <w:tc>
          <w:tcPr>
            <w:tcW w:w="1020" w:type="dxa"/>
          </w:tcPr>
          <w:p w14:paraId="16FB7BFB" w14:textId="4516081E" w:rsidR="00AB4CBA" w:rsidRDefault="00AB4CBA" w:rsidP="007446FD">
            <w:pPr>
              <w:rPr>
                <w:rFonts w:ascii="Arial" w:hAnsi="Arial" w:cs="Arial"/>
                <w:sz w:val="20"/>
                <w:szCs w:val="20"/>
              </w:rPr>
            </w:pPr>
            <w:r>
              <w:rPr>
                <w:rFonts w:ascii="Arial" w:hAnsi="Arial" w:cs="Arial"/>
                <w:sz w:val="20"/>
                <w:szCs w:val="20"/>
              </w:rPr>
              <w:t>71%</w:t>
            </w:r>
          </w:p>
        </w:tc>
      </w:tr>
    </w:tbl>
    <w:p w14:paraId="60B48915" w14:textId="77777777" w:rsidR="00AB4CBA" w:rsidRDefault="00AB4CBA" w:rsidP="007446FD">
      <w:pPr>
        <w:rPr>
          <w:rFonts w:ascii="Arial" w:hAnsi="Arial" w:cs="Arial"/>
          <w:sz w:val="20"/>
          <w:szCs w:val="20"/>
        </w:rPr>
      </w:pPr>
    </w:p>
    <w:p w14:paraId="2D6D3EA1" w14:textId="46825BA5" w:rsidR="00AB4CBA" w:rsidRDefault="00AB4CBA" w:rsidP="007446FD">
      <w:pPr>
        <w:rPr>
          <w:rFonts w:ascii="Arial" w:hAnsi="Arial" w:cs="Arial"/>
          <w:sz w:val="20"/>
          <w:szCs w:val="20"/>
        </w:rPr>
      </w:pPr>
      <w:r w:rsidRPr="00AB4CBA">
        <w:rPr>
          <w:rFonts w:ascii="Arial" w:hAnsi="Arial" w:cs="Arial"/>
          <w:sz w:val="20"/>
          <w:szCs w:val="20"/>
        </w:rPr>
        <w:t>Dessert parlours and fast food operators have the highest proportion of brands continuing to offer takeaway/collection</w:t>
      </w:r>
      <w:r>
        <w:rPr>
          <w:rFonts w:ascii="Arial" w:hAnsi="Arial" w:cs="Arial"/>
          <w:sz w:val="20"/>
          <w:szCs w:val="20"/>
        </w:rPr>
        <w:t xml:space="preserve"> </w:t>
      </w:r>
      <w:r w:rsidRPr="00AB4CBA">
        <w:rPr>
          <w:rFonts w:ascii="Arial" w:hAnsi="Arial" w:cs="Arial"/>
          <w:sz w:val="20"/>
          <w:szCs w:val="20"/>
        </w:rPr>
        <w:t>and/or delivery well placed for delivery and grab and go services with simple menus. Pub/bar restaurants have the</w:t>
      </w:r>
      <w:r>
        <w:rPr>
          <w:rFonts w:ascii="Arial" w:hAnsi="Arial" w:cs="Arial"/>
          <w:sz w:val="20"/>
          <w:szCs w:val="20"/>
        </w:rPr>
        <w:t xml:space="preserve"> </w:t>
      </w:r>
      <w:r w:rsidRPr="00AB4CBA">
        <w:rPr>
          <w:rFonts w:ascii="Arial" w:hAnsi="Arial" w:cs="Arial"/>
          <w:sz w:val="20"/>
          <w:szCs w:val="20"/>
        </w:rPr>
        <w:t>lowest proportion of operating brands with takeaway food offerings not viable for many wet led operators.</w:t>
      </w:r>
    </w:p>
    <w:p w14:paraId="46E0C06E" w14:textId="2AC8778C" w:rsidR="00F8063C" w:rsidRDefault="00337BC2" w:rsidP="007446FD">
      <w:pPr>
        <w:rPr>
          <w:rFonts w:ascii="Arial" w:hAnsi="Arial" w:cs="Arial"/>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says, “</w:t>
      </w:r>
      <w:r w:rsidR="00F63594">
        <w:rPr>
          <w:rFonts w:ascii="Arial" w:hAnsi="Arial" w:cs="Arial"/>
          <w:sz w:val="20"/>
          <w:szCs w:val="20"/>
        </w:rPr>
        <w:t xml:space="preserve">Innovation and creativity is at the heart of the hospitality industry and these figures prove that. Operators have worked tirelessly, using experience and insight to </w:t>
      </w:r>
      <w:r w:rsidR="005524A4">
        <w:rPr>
          <w:rFonts w:ascii="Arial" w:hAnsi="Arial" w:cs="Arial"/>
          <w:sz w:val="20"/>
          <w:szCs w:val="20"/>
        </w:rPr>
        <w:t>streamline their operations in order to maintain service during lockdown periods. Compared with March</w:t>
      </w:r>
      <w:r w:rsidR="00F63594">
        <w:rPr>
          <w:rFonts w:ascii="Arial" w:hAnsi="Arial" w:cs="Arial"/>
          <w:sz w:val="20"/>
          <w:szCs w:val="20"/>
        </w:rPr>
        <w:t xml:space="preserve"> </w:t>
      </w:r>
      <w:r w:rsidR="005524A4">
        <w:rPr>
          <w:rFonts w:ascii="Arial" w:hAnsi="Arial" w:cs="Arial"/>
          <w:sz w:val="20"/>
          <w:szCs w:val="20"/>
        </w:rPr>
        <w:t>there has been a significant increase in the proportion of branded operators remaining operational.”</w:t>
      </w:r>
    </w:p>
    <w:p w14:paraId="3913A106" w14:textId="1804FE18" w:rsidR="00CF3F7F" w:rsidRPr="007446FD" w:rsidRDefault="00DB1AE2" w:rsidP="007446FD">
      <w:pPr>
        <w:rPr>
          <w:rFonts w:ascii="Arial" w:hAnsi="Arial" w:cs="Arial"/>
          <w:sz w:val="20"/>
          <w:szCs w:val="20"/>
        </w:rPr>
      </w:pPr>
      <w:r>
        <w:rPr>
          <w:rFonts w:ascii="Arial" w:hAnsi="Arial" w:cs="Arial"/>
          <w:sz w:val="20"/>
          <w:szCs w:val="20"/>
        </w:rPr>
        <w:t xml:space="preserve">Find out more about the Lumina Intelligence Operator Data Index </w:t>
      </w:r>
      <w:hyperlink r:id="rId7" w:history="1">
        <w:r w:rsidRPr="00DB1AE2">
          <w:rPr>
            <w:rStyle w:val="Hyperlink"/>
            <w:rFonts w:ascii="Arial" w:hAnsi="Arial" w:cs="Arial"/>
            <w:sz w:val="20"/>
            <w:szCs w:val="20"/>
          </w:rPr>
          <w:t>here</w:t>
        </w:r>
      </w:hyperlink>
      <w:r>
        <w:rPr>
          <w:rFonts w:ascii="Arial" w:hAnsi="Arial" w:cs="Arial"/>
          <w:sz w:val="20"/>
          <w:szCs w:val="20"/>
        </w:rPr>
        <w:t>.</w:t>
      </w:r>
    </w:p>
    <w:p w14:paraId="2DC5233D" w14:textId="0710E01C" w:rsidR="00ED3ABD" w:rsidRDefault="00C16ADB">
      <w:pPr>
        <w:rPr>
          <w:rFonts w:ascii="Arial" w:hAnsi="Arial" w:cs="Arial"/>
          <w:b/>
          <w:bCs/>
        </w:rPr>
      </w:pPr>
      <w:r w:rsidRPr="00550B08">
        <w:rPr>
          <w:rFonts w:ascii="Arial" w:hAnsi="Arial" w:cs="Arial"/>
          <w:b/>
          <w:bCs/>
        </w:rPr>
        <w:t>ENDS</w:t>
      </w:r>
    </w:p>
    <w:p w14:paraId="2D7233D1" w14:textId="77777777" w:rsidR="00DB1AE2" w:rsidRPr="00CF3F7F" w:rsidRDefault="00DB1AE2">
      <w:pPr>
        <w:rPr>
          <w:rFonts w:ascii="Arial" w:hAnsi="Arial" w:cs="Arial"/>
          <w:b/>
          <w:bCs/>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8FDB6D8" w14:textId="054B6D77" w:rsidR="007446FD" w:rsidRDefault="00337BC2" w:rsidP="00DB1AE2">
      <w:pPr>
        <w:rPr>
          <w:rFonts w:ascii="Arial" w:hAnsi="Arial" w:cs="Arial"/>
          <w:sz w:val="20"/>
          <w:szCs w:val="20"/>
        </w:rPr>
      </w:pPr>
      <w:r w:rsidRPr="00EA6ECD">
        <w:rPr>
          <w:rFonts w:ascii="Arial" w:hAnsi="Arial" w:cs="Arial"/>
          <w:sz w:val="20"/>
          <w:szCs w:val="20"/>
        </w:rPr>
        <w:t xml:space="preserve">The Lumina Intelligence </w:t>
      </w:r>
      <w:r w:rsidR="00DB1AE2">
        <w:rPr>
          <w:rFonts w:ascii="Arial" w:hAnsi="Arial" w:cs="Arial"/>
          <w:sz w:val="20"/>
          <w:szCs w:val="20"/>
        </w:rPr>
        <w:t>Operator Data Index</w:t>
      </w:r>
      <w:r w:rsidR="00853668">
        <w:rPr>
          <w:rFonts w:ascii="Arial" w:hAnsi="Arial" w:cs="Arial"/>
          <w:sz w:val="20"/>
          <w:szCs w:val="20"/>
        </w:rPr>
        <w:t xml:space="preserve"> is a tool that tracks the</w:t>
      </w:r>
      <w:r w:rsidR="00DB1AE2" w:rsidRPr="00DB1AE2">
        <w:rPr>
          <w:rFonts w:ascii="Arial" w:hAnsi="Arial" w:cs="Arial"/>
          <w:sz w:val="20"/>
          <w:szCs w:val="20"/>
        </w:rPr>
        <w:t xml:space="preserve"> performance of hospitality</w:t>
      </w:r>
      <w:r w:rsidR="00853668">
        <w:rPr>
          <w:rFonts w:ascii="Arial" w:hAnsi="Arial" w:cs="Arial"/>
          <w:sz w:val="20"/>
          <w:szCs w:val="20"/>
        </w:rPr>
        <w:t xml:space="preserve"> </w:t>
      </w:r>
      <w:r w:rsidR="00DB1AE2" w:rsidRPr="00DB1AE2">
        <w:rPr>
          <w:rFonts w:ascii="Arial" w:hAnsi="Arial" w:cs="Arial"/>
          <w:sz w:val="20"/>
          <w:szCs w:val="20"/>
        </w:rPr>
        <w:t>operators, providing market rankings based on turnover and outlet numbers, segmented by sub-channels.</w:t>
      </w:r>
      <w:r w:rsidR="00853668">
        <w:rPr>
          <w:rFonts w:ascii="Arial" w:hAnsi="Arial" w:cs="Arial"/>
          <w:sz w:val="20"/>
          <w:szCs w:val="20"/>
        </w:rPr>
        <w:t xml:space="preserve"> </w:t>
      </w:r>
    </w:p>
    <w:p w14:paraId="39B30FF3" w14:textId="2455B3FF" w:rsidR="00853668" w:rsidRDefault="00853668" w:rsidP="00DB1AE2">
      <w:pPr>
        <w:rPr>
          <w:rFonts w:ascii="Arial" w:hAnsi="Arial" w:cs="Arial"/>
          <w:sz w:val="20"/>
          <w:szCs w:val="20"/>
        </w:rPr>
      </w:pPr>
      <w:r>
        <w:rPr>
          <w:rFonts w:ascii="Arial" w:hAnsi="Arial" w:cs="Arial"/>
          <w:sz w:val="20"/>
          <w:szCs w:val="20"/>
        </w:rPr>
        <w:t>Our Operator Data Index includes:</w:t>
      </w:r>
    </w:p>
    <w:p w14:paraId="4AD22B9D" w14:textId="77777777" w:rsidR="00853668" w:rsidRPr="00853668" w:rsidRDefault="00853668" w:rsidP="00853668">
      <w:pPr>
        <w:pStyle w:val="ListParagraph"/>
        <w:numPr>
          <w:ilvl w:val="0"/>
          <w:numId w:val="6"/>
        </w:numPr>
        <w:rPr>
          <w:rFonts w:ascii="Arial" w:hAnsi="Arial" w:cs="Arial"/>
          <w:sz w:val="20"/>
          <w:szCs w:val="20"/>
        </w:rPr>
      </w:pPr>
      <w:r w:rsidRPr="00853668">
        <w:rPr>
          <w:rFonts w:ascii="Arial" w:hAnsi="Arial" w:cs="Arial"/>
          <w:sz w:val="20"/>
          <w:szCs w:val="20"/>
        </w:rPr>
        <w:lastRenderedPageBreak/>
        <w:t>Comprehensive data on 700+ leading UK hospitality operators</w:t>
      </w:r>
    </w:p>
    <w:p w14:paraId="47C03818" w14:textId="701C9D8A" w:rsidR="007446FD" w:rsidRPr="00106EA2" w:rsidRDefault="00853668" w:rsidP="00106EA2">
      <w:pPr>
        <w:pStyle w:val="ListParagraph"/>
        <w:numPr>
          <w:ilvl w:val="0"/>
          <w:numId w:val="6"/>
        </w:numPr>
        <w:rPr>
          <w:rFonts w:ascii="Arial" w:hAnsi="Arial" w:cs="Arial"/>
          <w:b/>
          <w:bCs/>
          <w:sz w:val="20"/>
          <w:szCs w:val="20"/>
        </w:rPr>
      </w:pPr>
      <w:r w:rsidRPr="00106EA2">
        <w:rPr>
          <w:rFonts w:ascii="Arial" w:hAnsi="Arial" w:cs="Arial"/>
          <w:sz w:val="20"/>
          <w:szCs w:val="20"/>
        </w:rPr>
        <w:t>Access market rankings, sales and outlet counts</w:t>
      </w:r>
      <w:r w:rsidR="00106EA2">
        <w:rPr>
          <w:rFonts w:ascii="Arial" w:hAnsi="Arial" w:cs="Arial"/>
          <w:sz w:val="20"/>
          <w:szCs w:val="20"/>
        </w:rPr>
        <w:t xml:space="preserve"> and</w:t>
      </w:r>
      <w:bookmarkStart w:id="0" w:name="_GoBack"/>
      <w:bookmarkEnd w:id="0"/>
      <w:r w:rsidRPr="00106EA2">
        <w:rPr>
          <w:rFonts w:ascii="Arial" w:hAnsi="Arial" w:cs="Arial"/>
          <w:sz w:val="20"/>
          <w:szCs w:val="20"/>
        </w:rPr>
        <w:t xml:space="preserve"> monthly analysis presentations</w:t>
      </w:r>
      <w:r w:rsidR="00106EA2">
        <w:rPr>
          <w:rFonts w:ascii="Arial" w:hAnsi="Arial" w:cs="Arial"/>
          <w:sz w:val="20"/>
          <w:szCs w:val="20"/>
        </w:rPr>
        <w:t>.</w:t>
      </w:r>
    </w:p>
    <w:p w14:paraId="4CEA97D8" w14:textId="3DF6FFC4"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106EA2"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F7A54"/>
    <w:multiLevelType w:val="hybridMultilevel"/>
    <w:tmpl w:val="5BEE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E9C4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05DF4"/>
    <w:multiLevelType w:val="hybridMultilevel"/>
    <w:tmpl w:val="2202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0136A"/>
    <w:rsid w:val="00106EA2"/>
    <w:rsid w:val="00113451"/>
    <w:rsid w:val="00116246"/>
    <w:rsid w:val="001249C3"/>
    <w:rsid w:val="001C426A"/>
    <w:rsid w:val="002310C4"/>
    <w:rsid w:val="002A1EC7"/>
    <w:rsid w:val="00337BC2"/>
    <w:rsid w:val="0034594F"/>
    <w:rsid w:val="00347884"/>
    <w:rsid w:val="00363346"/>
    <w:rsid w:val="00392B4B"/>
    <w:rsid w:val="003B0DC6"/>
    <w:rsid w:val="003C4BB2"/>
    <w:rsid w:val="004A4938"/>
    <w:rsid w:val="004B1EBA"/>
    <w:rsid w:val="00550B08"/>
    <w:rsid w:val="005524A4"/>
    <w:rsid w:val="00553497"/>
    <w:rsid w:val="00566CAE"/>
    <w:rsid w:val="005C3028"/>
    <w:rsid w:val="005C6F8E"/>
    <w:rsid w:val="0064772D"/>
    <w:rsid w:val="006663E0"/>
    <w:rsid w:val="006E79FF"/>
    <w:rsid w:val="007221DF"/>
    <w:rsid w:val="007229E3"/>
    <w:rsid w:val="007446FD"/>
    <w:rsid w:val="00755025"/>
    <w:rsid w:val="00790D17"/>
    <w:rsid w:val="007D1EA3"/>
    <w:rsid w:val="008276B8"/>
    <w:rsid w:val="00846DDB"/>
    <w:rsid w:val="00853668"/>
    <w:rsid w:val="008D4655"/>
    <w:rsid w:val="00987209"/>
    <w:rsid w:val="009C613A"/>
    <w:rsid w:val="009D081A"/>
    <w:rsid w:val="009D1543"/>
    <w:rsid w:val="00A71DF8"/>
    <w:rsid w:val="00AB4CBA"/>
    <w:rsid w:val="00B41231"/>
    <w:rsid w:val="00B46E6F"/>
    <w:rsid w:val="00B8731A"/>
    <w:rsid w:val="00BB4747"/>
    <w:rsid w:val="00C16ADB"/>
    <w:rsid w:val="00C545F0"/>
    <w:rsid w:val="00CE6B8A"/>
    <w:rsid w:val="00CF3F7F"/>
    <w:rsid w:val="00D25202"/>
    <w:rsid w:val="00D308D1"/>
    <w:rsid w:val="00DB1AE2"/>
    <w:rsid w:val="00DB3708"/>
    <w:rsid w:val="00DB5975"/>
    <w:rsid w:val="00DE4ABE"/>
    <w:rsid w:val="00E56A95"/>
    <w:rsid w:val="00EA6ECD"/>
    <w:rsid w:val="00ED3ABD"/>
    <w:rsid w:val="00F63594"/>
    <w:rsid w:val="00F8063C"/>
    <w:rsid w:val="00F97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EA6ECD"/>
    <w:rPr>
      <w:sz w:val="16"/>
      <w:szCs w:val="16"/>
    </w:rPr>
  </w:style>
  <w:style w:type="paragraph" w:styleId="CommentText">
    <w:name w:val="annotation text"/>
    <w:basedOn w:val="Normal"/>
    <w:link w:val="CommentTextChar"/>
    <w:uiPriority w:val="99"/>
    <w:semiHidden/>
    <w:unhideWhenUsed/>
    <w:rsid w:val="00EA6ECD"/>
    <w:pPr>
      <w:spacing w:line="240" w:lineRule="auto"/>
    </w:pPr>
    <w:rPr>
      <w:sz w:val="20"/>
      <w:szCs w:val="20"/>
    </w:rPr>
  </w:style>
  <w:style w:type="character" w:customStyle="1" w:styleId="CommentTextChar">
    <w:name w:val="Comment Text Char"/>
    <w:basedOn w:val="DefaultParagraphFont"/>
    <w:link w:val="CommentText"/>
    <w:uiPriority w:val="99"/>
    <w:semiHidden/>
    <w:rsid w:val="00EA6ECD"/>
    <w:rPr>
      <w:sz w:val="20"/>
      <w:szCs w:val="20"/>
    </w:rPr>
  </w:style>
  <w:style w:type="paragraph" w:styleId="CommentSubject">
    <w:name w:val="annotation subject"/>
    <w:basedOn w:val="CommentText"/>
    <w:next w:val="CommentText"/>
    <w:link w:val="CommentSubjectChar"/>
    <w:uiPriority w:val="99"/>
    <w:semiHidden/>
    <w:unhideWhenUsed/>
    <w:rsid w:val="00EA6ECD"/>
    <w:rPr>
      <w:b/>
      <w:bCs/>
    </w:rPr>
  </w:style>
  <w:style w:type="character" w:customStyle="1" w:styleId="CommentSubjectChar">
    <w:name w:val="Comment Subject Char"/>
    <w:basedOn w:val="CommentTextChar"/>
    <w:link w:val="CommentSubject"/>
    <w:uiPriority w:val="99"/>
    <w:semiHidden/>
    <w:rsid w:val="00EA6ECD"/>
    <w:rPr>
      <w:b/>
      <w:bCs/>
      <w:sz w:val="20"/>
      <w:szCs w:val="20"/>
    </w:rPr>
  </w:style>
  <w:style w:type="table" w:styleId="TableGrid">
    <w:name w:val="Table Grid"/>
    <w:basedOn w:val="TableNormal"/>
    <w:uiPriority w:val="39"/>
    <w:rsid w:val="00AB4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grocery-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2020-11-16T13:02:00Z</dcterms:created>
  <dcterms:modified xsi:type="dcterms:W3CDTF">2020-11-17T16:22:00Z</dcterms:modified>
</cp:coreProperties>
</file>