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1A1663"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17184552" w:rsidR="00ED3ABD" w:rsidRPr="00550B08" w:rsidRDefault="008844D2"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02</w:t>
      </w:r>
      <w:r w:rsidR="007229E3">
        <w:rPr>
          <w:rStyle w:val="Hyperlink"/>
          <w:rFonts w:ascii="Arial" w:hAnsi="Arial" w:cs="Arial"/>
          <w:b/>
          <w:bCs/>
          <w:color w:val="505050"/>
          <w:sz w:val="18"/>
          <w:szCs w:val="18"/>
          <w:u w:val="none"/>
        </w:rPr>
        <w:t xml:space="preserve"> </w:t>
      </w:r>
      <w:r>
        <w:rPr>
          <w:rStyle w:val="Hyperlink"/>
          <w:rFonts w:ascii="Arial" w:hAnsi="Arial" w:cs="Arial"/>
          <w:b/>
          <w:bCs/>
          <w:color w:val="505050"/>
          <w:sz w:val="18"/>
          <w:szCs w:val="18"/>
          <w:u w:val="none"/>
        </w:rPr>
        <w:t>February</w:t>
      </w:r>
      <w:r w:rsidR="003C4BB2" w:rsidRPr="00550B08">
        <w:rPr>
          <w:rStyle w:val="Hyperlink"/>
          <w:rFonts w:ascii="Arial" w:hAnsi="Arial" w:cs="Arial"/>
          <w:b/>
          <w:bCs/>
          <w:color w:val="505050"/>
          <w:sz w:val="18"/>
          <w:szCs w:val="18"/>
          <w:u w:val="none"/>
        </w:rPr>
        <w:t xml:space="preserve"> 202</w:t>
      </w:r>
      <w:r>
        <w:rPr>
          <w:rStyle w:val="Hyperlink"/>
          <w:rFonts w:ascii="Arial" w:hAnsi="Arial" w:cs="Arial"/>
          <w:b/>
          <w:bCs/>
          <w:color w:val="505050"/>
          <w:sz w:val="18"/>
          <w:szCs w:val="18"/>
          <w:u w:val="none"/>
        </w:rPr>
        <w:t>1</w:t>
      </w:r>
    </w:p>
    <w:p w14:paraId="6CD880DD" w14:textId="77777777" w:rsidR="007221DF" w:rsidRDefault="007221DF" w:rsidP="00CE6B8A">
      <w:pPr>
        <w:jc w:val="center"/>
        <w:rPr>
          <w:b/>
          <w:bCs/>
          <w:sz w:val="32"/>
          <w:szCs w:val="32"/>
        </w:rPr>
      </w:pPr>
    </w:p>
    <w:p w14:paraId="2DECAAF7" w14:textId="5650E8EF" w:rsidR="00566CAE" w:rsidRDefault="008844D2" w:rsidP="008844D2">
      <w:pPr>
        <w:jc w:val="center"/>
        <w:rPr>
          <w:rFonts w:ascii="Arial" w:hAnsi="Arial" w:cs="Arial"/>
          <w:b/>
          <w:bCs/>
          <w:sz w:val="32"/>
          <w:szCs w:val="32"/>
        </w:rPr>
      </w:pPr>
      <w:r w:rsidRPr="008844D2">
        <w:rPr>
          <w:rFonts w:ascii="Arial" w:hAnsi="Arial" w:cs="Arial"/>
          <w:b/>
          <w:bCs/>
          <w:sz w:val="32"/>
          <w:szCs w:val="32"/>
        </w:rPr>
        <w:t xml:space="preserve">Casual dining brands </w:t>
      </w:r>
      <w:r>
        <w:rPr>
          <w:rFonts w:ascii="Arial" w:hAnsi="Arial" w:cs="Arial"/>
          <w:b/>
          <w:bCs/>
          <w:sz w:val="32"/>
          <w:szCs w:val="32"/>
        </w:rPr>
        <w:t>see -</w:t>
      </w:r>
      <w:r w:rsidRPr="008844D2">
        <w:rPr>
          <w:rFonts w:ascii="Arial" w:hAnsi="Arial" w:cs="Arial"/>
          <w:b/>
          <w:bCs/>
          <w:sz w:val="32"/>
          <w:szCs w:val="32"/>
        </w:rPr>
        <w:t>6.8%</w:t>
      </w:r>
      <w:r>
        <w:rPr>
          <w:rFonts w:ascii="Arial" w:hAnsi="Arial" w:cs="Arial"/>
          <w:b/>
          <w:bCs/>
          <w:sz w:val="32"/>
          <w:szCs w:val="32"/>
        </w:rPr>
        <w:t xml:space="preserve"> outlet decline</w:t>
      </w:r>
      <w:r w:rsidRPr="008844D2">
        <w:rPr>
          <w:rFonts w:ascii="Arial" w:hAnsi="Arial" w:cs="Arial"/>
          <w:b/>
          <w:bCs/>
          <w:sz w:val="32"/>
          <w:szCs w:val="32"/>
        </w:rPr>
        <w:t xml:space="preserve"> in 2020</w:t>
      </w:r>
    </w:p>
    <w:p w14:paraId="61751DE2" w14:textId="77777777" w:rsidR="00987209" w:rsidRPr="00550B08" w:rsidRDefault="00987209" w:rsidP="00C545F0">
      <w:pPr>
        <w:jc w:val="center"/>
        <w:rPr>
          <w:rFonts w:ascii="Arial" w:hAnsi="Arial" w:cs="Arial"/>
        </w:rPr>
      </w:pPr>
    </w:p>
    <w:p w14:paraId="49C0F696" w14:textId="1E46A5DE" w:rsidR="003C7911" w:rsidRDefault="005524A4" w:rsidP="007446FD">
      <w:pPr>
        <w:rPr>
          <w:rFonts w:ascii="Arial" w:hAnsi="Arial" w:cs="Arial"/>
          <w:sz w:val="20"/>
          <w:szCs w:val="20"/>
        </w:rPr>
      </w:pPr>
      <w:r>
        <w:rPr>
          <w:rFonts w:ascii="Arial" w:hAnsi="Arial" w:cs="Arial"/>
          <w:sz w:val="20"/>
          <w:szCs w:val="20"/>
        </w:rPr>
        <w:t xml:space="preserve">New research using </w:t>
      </w:r>
      <w:r w:rsidR="003B0DC6">
        <w:rPr>
          <w:rFonts w:ascii="Arial" w:hAnsi="Arial" w:cs="Arial"/>
          <w:sz w:val="20"/>
          <w:szCs w:val="20"/>
        </w:rPr>
        <w:t>Lumina Intelligence’s Operator Data Index</w:t>
      </w:r>
      <w:r>
        <w:rPr>
          <w:rFonts w:ascii="Arial" w:hAnsi="Arial" w:cs="Arial"/>
          <w:sz w:val="20"/>
          <w:szCs w:val="20"/>
        </w:rPr>
        <w:t xml:space="preserve"> indicates </w:t>
      </w:r>
      <w:r w:rsidR="003C7911">
        <w:rPr>
          <w:rFonts w:ascii="Arial" w:hAnsi="Arial" w:cs="Arial"/>
          <w:sz w:val="20"/>
          <w:szCs w:val="20"/>
        </w:rPr>
        <w:t>that the branded casual dining segment of the UK eating out market experienced -6.8% outlet decline in 2020.</w:t>
      </w:r>
    </w:p>
    <w:p w14:paraId="1755FACF" w14:textId="2AB6A0EC" w:rsidR="003C7911" w:rsidRDefault="003C7911" w:rsidP="003C7911">
      <w:pPr>
        <w:rPr>
          <w:rFonts w:ascii="Arial" w:hAnsi="Arial" w:cs="Arial"/>
          <w:sz w:val="20"/>
          <w:szCs w:val="20"/>
        </w:rPr>
      </w:pPr>
      <w:r w:rsidRPr="003C7911">
        <w:rPr>
          <w:rFonts w:ascii="Arial" w:hAnsi="Arial" w:cs="Arial"/>
          <w:sz w:val="20"/>
          <w:szCs w:val="20"/>
        </w:rPr>
        <w:t>2020 saw more than 20 groups and</w:t>
      </w:r>
      <w:r>
        <w:rPr>
          <w:rFonts w:ascii="Arial" w:hAnsi="Arial" w:cs="Arial"/>
          <w:sz w:val="20"/>
          <w:szCs w:val="20"/>
        </w:rPr>
        <w:t xml:space="preserve"> </w:t>
      </w:r>
      <w:r w:rsidRPr="003C7911">
        <w:rPr>
          <w:rFonts w:ascii="Arial" w:hAnsi="Arial" w:cs="Arial"/>
          <w:sz w:val="20"/>
          <w:szCs w:val="20"/>
        </w:rPr>
        <w:t>operators enter CVA’s or insolvency</w:t>
      </w:r>
      <w:r>
        <w:rPr>
          <w:rFonts w:ascii="Arial" w:hAnsi="Arial" w:cs="Arial"/>
          <w:sz w:val="20"/>
          <w:szCs w:val="20"/>
        </w:rPr>
        <w:t xml:space="preserve"> </w:t>
      </w:r>
      <w:r w:rsidRPr="003C7911">
        <w:rPr>
          <w:rFonts w:ascii="Arial" w:hAnsi="Arial" w:cs="Arial"/>
          <w:sz w:val="20"/>
          <w:szCs w:val="20"/>
        </w:rPr>
        <w:t>proceedings with large periods of no</w:t>
      </w:r>
      <w:r>
        <w:rPr>
          <w:rFonts w:ascii="Arial" w:hAnsi="Arial" w:cs="Arial"/>
          <w:sz w:val="20"/>
          <w:szCs w:val="20"/>
        </w:rPr>
        <w:t xml:space="preserve"> </w:t>
      </w:r>
      <w:r w:rsidRPr="003C7911">
        <w:rPr>
          <w:rFonts w:ascii="Arial" w:hAnsi="Arial" w:cs="Arial"/>
          <w:sz w:val="20"/>
          <w:szCs w:val="20"/>
        </w:rPr>
        <w:t>trading and strict capacity restrictions</w:t>
      </w:r>
      <w:r>
        <w:rPr>
          <w:rFonts w:ascii="Arial" w:hAnsi="Arial" w:cs="Arial"/>
          <w:sz w:val="20"/>
          <w:szCs w:val="20"/>
        </w:rPr>
        <w:t xml:space="preserve"> </w:t>
      </w:r>
      <w:r w:rsidRPr="003C7911">
        <w:rPr>
          <w:rFonts w:ascii="Arial" w:hAnsi="Arial" w:cs="Arial"/>
          <w:sz w:val="20"/>
          <w:szCs w:val="20"/>
        </w:rPr>
        <w:t>to contain the coronavirus, forming</w:t>
      </w:r>
      <w:r>
        <w:rPr>
          <w:rFonts w:ascii="Arial" w:hAnsi="Arial" w:cs="Arial"/>
          <w:sz w:val="20"/>
          <w:szCs w:val="20"/>
        </w:rPr>
        <w:t xml:space="preserve"> </w:t>
      </w:r>
      <w:r w:rsidRPr="003C7911">
        <w:rPr>
          <w:rFonts w:ascii="Arial" w:hAnsi="Arial" w:cs="Arial"/>
          <w:sz w:val="20"/>
          <w:szCs w:val="20"/>
        </w:rPr>
        <w:t>the perfect storm for the casual</w:t>
      </w:r>
      <w:r>
        <w:rPr>
          <w:rFonts w:ascii="Arial" w:hAnsi="Arial" w:cs="Arial"/>
          <w:sz w:val="20"/>
          <w:szCs w:val="20"/>
        </w:rPr>
        <w:t xml:space="preserve"> </w:t>
      </w:r>
      <w:r w:rsidRPr="003C7911">
        <w:rPr>
          <w:rFonts w:ascii="Arial" w:hAnsi="Arial" w:cs="Arial"/>
          <w:sz w:val="20"/>
          <w:szCs w:val="20"/>
        </w:rPr>
        <w:t>dining sector.</w:t>
      </w:r>
    </w:p>
    <w:p w14:paraId="3B4846CA" w14:textId="1CF1C526" w:rsidR="003C7911" w:rsidRDefault="003C7911" w:rsidP="003C7911">
      <w:pPr>
        <w:rPr>
          <w:rFonts w:ascii="Arial" w:hAnsi="Arial" w:cs="Arial"/>
          <w:sz w:val="20"/>
          <w:szCs w:val="20"/>
        </w:rPr>
      </w:pPr>
      <w:r>
        <w:rPr>
          <w:rFonts w:ascii="Arial" w:hAnsi="Arial" w:cs="Arial"/>
          <w:sz w:val="20"/>
          <w:szCs w:val="20"/>
        </w:rPr>
        <w:t xml:space="preserve">Branded restaurants experienced </w:t>
      </w:r>
      <w:r w:rsidRPr="003C7911">
        <w:rPr>
          <w:rFonts w:ascii="Arial" w:hAnsi="Arial" w:cs="Arial"/>
          <w:sz w:val="20"/>
          <w:szCs w:val="20"/>
        </w:rPr>
        <w:t>the</w:t>
      </w:r>
      <w:r>
        <w:rPr>
          <w:rFonts w:ascii="Arial" w:hAnsi="Arial" w:cs="Arial"/>
          <w:sz w:val="20"/>
          <w:szCs w:val="20"/>
        </w:rPr>
        <w:t xml:space="preserve"> </w:t>
      </w:r>
      <w:r w:rsidRPr="003C7911">
        <w:rPr>
          <w:rFonts w:ascii="Arial" w:hAnsi="Arial" w:cs="Arial"/>
          <w:sz w:val="20"/>
          <w:szCs w:val="20"/>
        </w:rPr>
        <w:t xml:space="preserve">steepest decline in 2020 of </w:t>
      </w:r>
      <w:r>
        <w:rPr>
          <w:rFonts w:ascii="Arial" w:hAnsi="Arial" w:cs="Arial"/>
          <w:sz w:val="20"/>
          <w:szCs w:val="20"/>
        </w:rPr>
        <w:t>-</w:t>
      </w:r>
      <w:r w:rsidRPr="003C7911">
        <w:rPr>
          <w:rFonts w:ascii="Arial" w:hAnsi="Arial" w:cs="Arial"/>
          <w:sz w:val="20"/>
          <w:szCs w:val="20"/>
        </w:rPr>
        <w:t>16.6%</w:t>
      </w:r>
      <w:r>
        <w:rPr>
          <w:rFonts w:ascii="Arial" w:hAnsi="Arial" w:cs="Arial"/>
          <w:sz w:val="20"/>
          <w:szCs w:val="20"/>
        </w:rPr>
        <w:t>, with t</w:t>
      </w:r>
      <w:r w:rsidRPr="003C7911">
        <w:rPr>
          <w:rFonts w:ascii="Arial" w:hAnsi="Arial" w:cs="Arial"/>
          <w:sz w:val="20"/>
          <w:szCs w:val="20"/>
        </w:rPr>
        <w:t xml:space="preserve">he coronavirus </w:t>
      </w:r>
      <w:r>
        <w:rPr>
          <w:rFonts w:ascii="Arial" w:hAnsi="Arial" w:cs="Arial"/>
          <w:sz w:val="20"/>
          <w:szCs w:val="20"/>
        </w:rPr>
        <w:t xml:space="preserve">pandemic </w:t>
      </w:r>
      <w:r w:rsidRPr="003C7911">
        <w:rPr>
          <w:rFonts w:ascii="Arial" w:hAnsi="Arial" w:cs="Arial"/>
          <w:sz w:val="20"/>
          <w:szCs w:val="20"/>
        </w:rPr>
        <w:t>exacerbat</w:t>
      </w:r>
      <w:r>
        <w:rPr>
          <w:rFonts w:ascii="Arial" w:hAnsi="Arial" w:cs="Arial"/>
          <w:sz w:val="20"/>
          <w:szCs w:val="20"/>
        </w:rPr>
        <w:t xml:space="preserve">ing </w:t>
      </w:r>
      <w:r w:rsidRPr="003C7911">
        <w:rPr>
          <w:rFonts w:ascii="Arial" w:hAnsi="Arial" w:cs="Arial"/>
          <w:sz w:val="20"/>
          <w:szCs w:val="20"/>
        </w:rPr>
        <w:t>existing issues in the branded</w:t>
      </w:r>
      <w:r>
        <w:rPr>
          <w:rFonts w:ascii="Arial" w:hAnsi="Arial" w:cs="Arial"/>
          <w:sz w:val="20"/>
          <w:szCs w:val="20"/>
        </w:rPr>
        <w:t xml:space="preserve"> </w:t>
      </w:r>
      <w:r w:rsidRPr="003C7911">
        <w:rPr>
          <w:rFonts w:ascii="Arial" w:hAnsi="Arial" w:cs="Arial"/>
          <w:sz w:val="20"/>
          <w:szCs w:val="20"/>
        </w:rPr>
        <w:t>restaurant market.</w:t>
      </w:r>
      <w:r>
        <w:rPr>
          <w:rFonts w:ascii="Arial" w:hAnsi="Arial" w:cs="Arial"/>
          <w:sz w:val="20"/>
          <w:szCs w:val="20"/>
        </w:rPr>
        <w:t xml:space="preserve"> Many </w:t>
      </w:r>
      <w:r w:rsidRPr="003C7911">
        <w:rPr>
          <w:rFonts w:ascii="Arial" w:hAnsi="Arial" w:cs="Arial"/>
          <w:sz w:val="20"/>
          <w:szCs w:val="20"/>
        </w:rPr>
        <w:t>mid</w:t>
      </w:r>
      <w:r>
        <w:rPr>
          <w:rFonts w:ascii="Arial" w:hAnsi="Arial" w:cs="Arial"/>
          <w:sz w:val="20"/>
          <w:szCs w:val="20"/>
        </w:rPr>
        <w:t>-</w:t>
      </w:r>
      <w:r w:rsidRPr="003C7911">
        <w:rPr>
          <w:rFonts w:ascii="Arial" w:hAnsi="Arial" w:cs="Arial"/>
          <w:sz w:val="20"/>
          <w:szCs w:val="20"/>
        </w:rPr>
        <w:t>market brands clos</w:t>
      </w:r>
      <w:r>
        <w:rPr>
          <w:rFonts w:ascii="Arial" w:hAnsi="Arial" w:cs="Arial"/>
          <w:sz w:val="20"/>
          <w:szCs w:val="20"/>
        </w:rPr>
        <w:t xml:space="preserve">ing </w:t>
      </w:r>
      <w:r w:rsidRPr="003C7911">
        <w:rPr>
          <w:rFonts w:ascii="Arial" w:hAnsi="Arial" w:cs="Arial"/>
          <w:sz w:val="20"/>
          <w:szCs w:val="20"/>
        </w:rPr>
        <w:t>sites that have been struggling to</w:t>
      </w:r>
      <w:r>
        <w:rPr>
          <w:rFonts w:ascii="Arial" w:hAnsi="Arial" w:cs="Arial"/>
          <w:sz w:val="20"/>
          <w:szCs w:val="20"/>
        </w:rPr>
        <w:t xml:space="preserve"> </w:t>
      </w:r>
      <w:r w:rsidRPr="003C7911">
        <w:rPr>
          <w:rFonts w:ascii="Arial" w:hAnsi="Arial" w:cs="Arial"/>
          <w:sz w:val="20"/>
          <w:szCs w:val="20"/>
        </w:rPr>
        <w:t>maintain relevance for several years,</w:t>
      </w:r>
      <w:r>
        <w:rPr>
          <w:rFonts w:ascii="Arial" w:hAnsi="Arial" w:cs="Arial"/>
          <w:sz w:val="20"/>
          <w:szCs w:val="20"/>
        </w:rPr>
        <w:t xml:space="preserve"> </w:t>
      </w:r>
      <w:r w:rsidRPr="003C7911">
        <w:rPr>
          <w:rFonts w:ascii="Arial" w:hAnsi="Arial" w:cs="Arial"/>
          <w:sz w:val="20"/>
          <w:szCs w:val="20"/>
        </w:rPr>
        <w:t>amid growth in consumer interest for</w:t>
      </w:r>
      <w:r>
        <w:rPr>
          <w:rFonts w:ascii="Arial" w:hAnsi="Arial" w:cs="Arial"/>
          <w:sz w:val="20"/>
          <w:szCs w:val="20"/>
        </w:rPr>
        <w:t xml:space="preserve"> </w:t>
      </w:r>
      <w:r w:rsidRPr="003C7911">
        <w:rPr>
          <w:rFonts w:ascii="Arial" w:hAnsi="Arial" w:cs="Arial"/>
          <w:sz w:val="20"/>
          <w:szCs w:val="20"/>
        </w:rPr>
        <w:t>smaller differentiated operators.</w:t>
      </w:r>
    </w:p>
    <w:p w14:paraId="02592ECA" w14:textId="5F64B80A" w:rsidR="003C7911" w:rsidRDefault="003C7911" w:rsidP="003C7911">
      <w:pPr>
        <w:rPr>
          <w:rFonts w:ascii="Arial" w:hAnsi="Arial" w:cs="Arial"/>
          <w:sz w:val="20"/>
          <w:szCs w:val="20"/>
        </w:rPr>
      </w:pPr>
      <w:r>
        <w:rPr>
          <w:rFonts w:ascii="Arial" w:hAnsi="Arial" w:cs="Arial"/>
          <w:sz w:val="20"/>
          <w:szCs w:val="20"/>
        </w:rPr>
        <w:t xml:space="preserve">Overall, the top ten casual dining brands outperformed the wider segment, seeing outlet decline of just -2.3%, with five of the top ten experiencing outlet growth in 2020. </w:t>
      </w:r>
    </w:p>
    <w:p w14:paraId="1EC9B672" w14:textId="13DC44AA" w:rsidR="009D081A" w:rsidRDefault="00F837FF" w:rsidP="007446FD">
      <w:pPr>
        <w:rPr>
          <w:rFonts w:ascii="Arial" w:hAnsi="Arial" w:cs="Arial"/>
          <w:sz w:val="20"/>
          <w:szCs w:val="20"/>
        </w:rPr>
      </w:pPr>
      <w:r>
        <w:rPr>
          <w:rFonts w:ascii="Arial" w:hAnsi="Arial" w:cs="Arial"/>
          <w:sz w:val="20"/>
          <w:szCs w:val="20"/>
        </w:rPr>
        <w:t>The below table highlights the outlet growth rate in 2020 of each channel of the branded casual dining segment:</w:t>
      </w:r>
    </w:p>
    <w:tbl>
      <w:tblPr>
        <w:tblStyle w:val="TableGrid"/>
        <w:tblW w:w="0" w:type="auto"/>
        <w:tblLook w:val="04A0" w:firstRow="1" w:lastRow="0" w:firstColumn="1" w:lastColumn="0" w:noHBand="0" w:noVBand="1"/>
      </w:tblPr>
      <w:tblGrid>
        <w:gridCol w:w="3515"/>
        <w:gridCol w:w="1020"/>
      </w:tblGrid>
      <w:tr w:rsidR="00AB4CBA" w14:paraId="256FB8C4" w14:textId="77777777" w:rsidTr="00AB4CBA">
        <w:trPr>
          <w:trHeight w:val="271"/>
        </w:trPr>
        <w:tc>
          <w:tcPr>
            <w:tcW w:w="3515" w:type="dxa"/>
          </w:tcPr>
          <w:p w14:paraId="3292A5BD" w14:textId="025FF4C8" w:rsidR="00AB4CBA" w:rsidRDefault="00AB4CBA" w:rsidP="007446FD">
            <w:pPr>
              <w:rPr>
                <w:rFonts w:ascii="Arial" w:hAnsi="Arial" w:cs="Arial"/>
                <w:sz w:val="20"/>
                <w:szCs w:val="20"/>
              </w:rPr>
            </w:pPr>
            <w:r>
              <w:rPr>
                <w:rFonts w:ascii="Arial" w:hAnsi="Arial" w:cs="Arial"/>
                <w:sz w:val="20"/>
                <w:szCs w:val="20"/>
              </w:rPr>
              <w:t>Branded restaurants</w:t>
            </w:r>
          </w:p>
        </w:tc>
        <w:tc>
          <w:tcPr>
            <w:tcW w:w="1020" w:type="dxa"/>
          </w:tcPr>
          <w:p w14:paraId="3EED01ED" w14:textId="294C99AA" w:rsidR="00AB4CBA" w:rsidRDefault="00F837FF" w:rsidP="007446FD">
            <w:pPr>
              <w:rPr>
                <w:rFonts w:ascii="Arial" w:hAnsi="Arial" w:cs="Arial"/>
                <w:sz w:val="20"/>
                <w:szCs w:val="20"/>
              </w:rPr>
            </w:pPr>
            <w:r>
              <w:rPr>
                <w:rFonts w:ascii="Arial" w:hAnsi="Arial" w:cs="Arial"/>
                <w:sz w:val="20"/>
                <w:szCs w:val="20"/>
              </w:rPr>
              <w:t>-16.6</w:t>
            </w:r>
            <w:r w:rsidR="00AB4CBA">
              <w:rPr>
                <w:rFonts w:ascii="Arial" w:hAnsi="Arial" w:cs="Arial"/>
                <w:sz w:val="20"/>
                <w:szCs w:val="20"/>
              </w:rPr>
              <w:t>%</w:t>
            </w:r>
          </w:p>
        </w:tc>
      </w:tr>
      <w:tr w:rsidR="00AB4CBA" w14:paraId="4F924C68" w14:textId="77777777" w:rsidTr="00AB4CBA">
        <w:trPr>
          <w:trHeight w:val="271"/>
        </w:trPr>
        <w:tc>
          <w:tcPr>
            <w:tcW w:w="3515" w:type="dxa"/>
          </w:tcPr>
          <w:p w14:paraId="4A0FFE9C" w14:textId="3D92A8CE" w:rsidR="00AB4CBA" w:rsidRDefault="00F837FF" w:rsidP="007446FD">
            <w:pPr>
              <w:rPr>
                <w:rFonts w:ascii="Arial" w:hAnsi="Arial" w:cs="Arial"/>
                <w:sz w:val="20"/>
                <w:szCs w:val="20"/>
              </w:rPr>
            </w:pPr>
            <w:r>
              <w:rPr>
                <w:rFonts w:ascii="Arial" w:hAnsi="Arial" w:cs="Arial"/>
                <w:sz w:val="20"/>
                <w:szCs w:val="20"/>
              </w:rPr>
              <w:t xml:space="preserve">Branded pub/bar restaurant </w:t>
            </w:r>
          </w:p>
        </w:tc>
        <w:tc>
          <w:tcPr>
            <w:tcW w:w="1020" w:type="dxa"/>
          </w:tcPr>
          <w:p w14:paraId="62A7847B" w14:textId="73E7AC19" w:rsidR="00AB4CBA" w:rsidRDefault="00F837FF" w:rsidP="007446FD">
            <w:pPr>
              <w:rPr>
                <w:rFonts w:ascii="Arial" w:hAnsi="Arial" w:cs="Arial"/>
                <w:sz w:val="20"/>
                <w:szCs w:val="20"/>
              </w:rPr>
            </w:pPr>
            <w:r>
              <w:rPr>
                <w:rFonts w:ascii="Arial" w:hAnsi="Arial" w:cs="Arial"/>
                <w:sz w:val="20"/>
                <w:szCs w:val="20"/>
              </w:rPr>
              <w:t>-2.0</w:t>
            </w:r>
            <w:r w:rsidR="00AB4CBA">
              <w:rPr>
                <w:rFonts w:ascii="Arial" w:hAnsi="Arial" w:cs="Arial"/>
                <w:sz w:val="20"/>
                <w:szCs w:val="20"/>
              </w:rPr>
              <w:t>%</w:t>
            </w:r>
          </w:p>
        </w:tc>
      </w:tr>
      <w:tr w:rsidR="00AB4CBA" w14:paraId="08F58535" w14:textId="77777777" w:rsidTr="00AB4CBA">
        <w:trPr>
          <w:trHeight w:val="271"/>
        </w:trPr>
        <w:tc>
          <w:tcPr>
            <w:tcW w:w="3515" w:type="dxa"/>
          </w:tcPr>
          <w:p w14:paraId="3A8A16EF" w14:textId="450CD11C" w:rsidR="00AB4CBA" w:rsidRDefault="00F837FF" w:rsidP="007446FD">
            <w:pPr>
              <w:rPr>
                <w:rFonts w:ascii="Arial" w:hAnsi="Arial" w:cs="Arial"/>
                <w:sz w:val="20"/>
                <w:szCs w:val="20"/>
              </w:rPr>
            </w:pPr>
            <w:r>
              <w:rPr>
                <w:rFonts w:ascii="Arial" w:hAnsi="Arial" w:cs="Arial"/>
                <w:sz w:val="20"/>
                <w:szCs w:val="20"/>
              </w:rPr>
              <w:t>Traditional fast food</w:t>
            </w:r>
          </w:p>
        </w:tc>
        <w:tc>
          <w:tcPr>
            <w:tcW w:w="1020" w:type="dxa"/>
          </w:tcPr>
          <w:p w14:paraId="5E9EB0E7" w14:textId="20C273F9" w:rsidR="00AB4CBA" w:rsidRDefault="00F837FF" w:rsidP="007446FD">
            <w:pPr>
              <w:rPr>
                <w:rFonts w:ascii="Arial" w:hAnsi="Arial" w:cs="Arial"/>
                <w:sz w:val="20"/>
                <w:szCs w:val="20"/>
              </w:rPr>
            </w:pPr>
            <w:r>
              <w:rPr>
                <w:rFonts w:ascii="Arial" w:hAnsi="Arial" w:cs="Arial"/>
                <w:sz w:val="20"/>
                <w:szCs w:val="20"/>
              </w:rPr>
              <w:t>+1.5</w:t>
            </w:r>
            <w:r w:rsidR="00AB4CBA">
              <w:rPr>
                <w:rFonts w:ascii="Arial" w:hAnsi="Arial" w:cs="Arial"/>
                <w:sz w:val="20"/>
                <w:szCs w:val="20"/>
              </w:rPr>
              <w:t>%</w:t>
            </w:r>
          </w:p>
        </w:tc>
      </w:tr>
      <w:tr w:rsidR="00AB4CBA" w14:paraId="6914F213" w14:textId="77777777" w:rsidTr="00AB4CBA">
        <w:trPr>
          <w:trHeight w:val="271"/>
        </w:trPr>
        <w:tc>
          <w:tcPr>
            <w:tcW w:w="3515" w:type="dxa"/>
          </w:tcPr>
          <w:p w14:paraId="4E03FC53" w14:textId="7C9C2A81" w:rsidR="00AB4CBA" w:rsidRDefault="00F837FF" w:rsidP="007446FD">
            <w:pPr>
              <w:rPr>
                <w:rFonts w:ascii="Arial" w:hAnsi="Arial" w:cs="Arial"/>
                <w:sz w:val="20"/>
                <w:szCs w:val="20"/>
              </w:rPr>
            </w:pPr>
            <w:r>
              <w:rPr>
                <w:rFonts w:ascii="Arial" w:hAnsi="Arial" w:cs="Arial"/>
                <w:sz w:val="20"/>
                <w:szCs w:val="20"/>
              </w:rPr>
              <w:t>Contemporary fast food</w:t>
            </w:r>
          </w:p>
        </w:tc>
        <w:tc>
          <w:tcPr>
            <w:tcW w:w="1020" w:type="dxa"/>
          </w:tcPr>
          <w:p w14:paraId="09F3CD3A" w14:textId="640138AA" w:rsidR="00AB4CBA" w:rsidRDefault="00F837FF" w:rsidP="007446FD">
            <w:pPr>
              <w:rPr>
                <w:rFonts w:ascii="Arial" w:hAnsi="Arial" w:cs="Arial"/>
                <w:sz w:val="20"/>
                <w:szCs w:val="20"/>
              </w:rPr>
            </w:pPr>
            <w:r>
              <w:rPr>
                <w:rFonts w:ascii="Arial" w:hAnsi="Arial" w:cs="Arial"/>
                <w:sz w:val="20"/>
                <w:szCs w:val="20"/>
              </w:rPr>
              <w:t>-9.2</w:t>
            </w:r>
            <w:r w:rsidR="00AB4CBA">
              <w:rPr>
                <w:rFonts w:ascii="Arial" w:hAnsi="Arial" w:cs="Arial"/>
                <w:sz w:val="20"/>
                <w:szCs w:val="20"/>
              </w:rPr>
              <w:t>%</w:t>
            </w:r>
          </w:p>
        </w:tc>
      </w:tr>
    </w:tbl>
    <w:p w14:paraId="60B48915" w14:textId="77777777" w:rsidR="00AB4CBA" w:rsidRDefault="00AB4CBA" w:rsidP="007446FD">
      <w:pPr>
        <w:rPr>
          <w:rFonts w:ascii="Arial" w:hAnsi="Arial" w:cs="Arial"/>
          <w:sz w:val="20"/>
          <w:szCs w:val="20"/>
        </w:rPr>
      </w:pPr>
    </w:p>
    <w:p w14:paraId="2D6D3EA1" w14:textId="0A9B1BAB" w:rsidR="00AB4CBA" w:rsidRDefault="00F837FF" w:rsidP="00F837FF">
      <w:pPr>
        <w:rPr>
          <w:rFonts w:ascii="Arial" w:hAnsi="Arial" w:cs="Arial"/>
          <w:sz w:val="20"/>
          <w:szCs w:val="20"/>
        </w:rPr>
      </w:pPr>
      <w:r>
        <w:rPr>
          <w:rFonts w:ascii="Arial" w:hAnsi="Arial" w:cs="Arial"/>
          <w:sz w:val="20"/>
          <w:szCs w:val="20"/>
        </w:rPr>
        <w:t>Looking ahead, o</w:t>
      </w:r>
      <w:r w:rsidRPr="00F837FF">
        <w:rPr>
          <w:rFonts w:ascii="Arial" w:hAnsi="Arial" w:cs="Arial"/>
          <w:sz w:val="20"/>
          <w:szCs w:val="20"/>
        </w:rPr>
        <w:t>utlet decline</w:t>
      </w:r>
      <w:r>
        <w:rPr>
          <w:rFonts w:ascii="Arial" w:hAnsi="Arial" w:cs="Arial"/>
          <w:sz w:val="20"/>
          <w:szCs w:val="20"/>
        </w:rPr>
        <w:t xml:space="preserve"> is forecast</w:t>
      </w:r>
      <w:r w:rsidRPr="00F837FF">
        <w:rPr>
          <w:rFonts w:ascii="Arial" w:hAnsi="Arial" w:cs="Arial"/>
          <w:sz w:val="20"/>
          <w:szCs w:val="20"/>
        </w:rPr>
        <w:t xml:space="preserve"> to net out in 2021 a</w:t>
      </w:r>
      <w:r>
        <w:rPr>
          <w:rFonts w:ascii="Arial" w:hAnsi="Arial" w:cs="Arial"/>
          <w:sz w:val="20"/>
          <w:szCs w:val="20"/>
        </w:rPr>
        <w:t xml:space="preserve">s </w:t>
      </w:r>
      <w:r w:rsidRPr="00F837FF">
        <w:rPr>
          <w:rFonts w:ascii="Arial" w:hAnsi="Arial" w:cs="Arial"/>
          <w:sz w:val="20"/>
          <w:szCs w:val="20"/>
        </w:rPr>
        <w:t>estates stabilise after 2020 closures</w:t>
      </w:r>
      <w:r>
        <w:rPr>
          <w:rFonts w:ascii="Arial" w:hAnsi="Arial" w:cs="Arial"/>
          <w:sz w:val="20"/>
          <w:szCs w:val="20"/>
        </w:rPr>
        <w:t>, with contemporary and traditional fast food to see outlet growth and branded restaurant and pub/bar restaurant to see outlet decline decelerate significantly.</w:t>
      </w:r>
    </w:p>
    <w:p w14:paraId="46E0C06E" w14:textId="21F8236D" w:rsidR="00F8063C" w:rsidRDefault="00337BC2" w:rsidP="007446FD">
      <w:pPr>
        <w:rPr>
          <w:rFonts w:ascii="Arial" w:hAnsi="Arial" w:cs="Arial"/>
          <w:sz w:val="20"/>
          <w:szCs w:val="20"/>
        </w:rPr>
      </w:pPr>
      <w:r>
        <w:rPr>
          <w:rFonts w:ascii="Arial" w:hAnsi="Arial" w:cs="Arial"/>
          <w:sz w:val="20"/>
          <w:szCs w:val="20"/>
        </w:rPr>
        <w:t>Katherine Prowse</w:t>
      </w:r>
      <w:r w:rsidR="007446FD" w:rsidRPr="007446FD">
        <w:rPr>
          <w:rFonts w:ascii="Arial" w:hAnsi="Arial" w:cs="Arial"/>
          <w:sz w:val="20"/>
          <w:szCs w:val="20"/>
        </w:rPr>
        <w:t xml:space="preserve">, </w:t>
      </w:r>
      <w:r>
        <w:rPr>
          <w:rFonts w:ascii="Arial" w:hAnsi="Arial" w:cs="Arial"/>
          <w:sz w:val="20"/>
          <w:szCs w:val="20"/>
        </w:rPr>
        <w:t>Insight Manager</w:t>
      </w:r>
      <w:r w:rsidR="007446FD" w:rsidRPr="007446FD">
        <w:rPr>
          <w:rFonts w:ascii="Arial" w:hAnsi="Arial" w:cs="Arial"/>
          <w:sz w:val="20"/>
          <w:szCs w:val="20"/>
        </w:rPr>
        <w:t xml:space="preserve"> at </w:t>
      </w:r>
      <w:r w:rsidR="007446FD">
        <w:rPr>
          <w:rFonts w:ascii="Arial" w:hAnsi="Arial" w:cs="Arial"/>
          <w:sz w:val="20"/>
          <w:szCs w:val="20"/>
        </w:rPr>
        <w:t>Lumina Intelligence</w:t>
      </w:r>
      <w:r w:rsidR="007446FD" w:rsidRPr="007446FD">
        <w:rPr>
          <w:rFonts w:ascii="Arial" w:hAnsi="Arial" w:cs="Arial"/>
          <w:sz w:val="20"/>
          <w:szCs w:val="20"/>
        </w:rPr>
        <w:t xml:space="preserve"> says, “</w:t>
      </w:r>
      <w:r w:rsidR="00D14D82">
        <w:rPr>
          <w:rFonts w:ascii="Arial" w:hAnsi="Arial" w:cs="Arial"/>
          <w:sz w:val="20"/>
          <w:szCs w:val="20"/>
        </w:rPr>
        <w:t>With delivery and takeaway solutions still operating throughout the lockdown, it is unsurprising that there has been an increase in the number of traditional fast food outlets in the UK</w:t>
      </w:r>
      <w:r w:rsidR="005524A4">
        <w:rPr>
          <w:rFonts w:ascii="Arial" w:hAnsi="Arial" w:cs="Arial"/>
          <w:sz w:val="20"/>
          <w:szCs w:val="20"/>
        </w:rPr>
        <w:t>.</w:t>
      </w:r>
      <w:r w:rsidR="00D14D82">
        <w:rPr>
          <w:rFonts w:ascii="Arial" w:hAnsi="Arial" w:cs="Arial"/>
          <w:sz w:val="20"/>
          <w:szCs w:val="20"/>
        </w:rPr>
        <w:t xml:space="preserve"> For branded restaur</w:t>
      </w:r>
      <w:r w:rsidR="00B314D9">
        <w:rPr>
          <w:rFonts w:ascii="Arial" w:hAnsi="Arial" w:cs="Arial"/>
          <w:sz w:val="20"/>
          <w:szCs w:val="20"/>
        </w:rPr>
        <w:t>ants and pub/bars, opportunities to open dine-in operations have been incredibly limited, resulting in large causalities across the sector. However, despite the current lockdown, we are predicting overall outlet volumes to remain firm in 202</w:t>
      </w:r>
      <w:r w:rsidR="001A1663">
        <w:rPr>
          <w:rFonts w:ascii="Arial" w:hAnsi="Arial" w:cs="Arial"/>
          <w:sz w:val="20"/>
          <w:szCs w:val="20"/>
        </w:rPr>
        <w:t>1</w:t>
      </w:r>
      <w:bookmarkStart w:id="0" w:name="_GoBack"/>
      <w:bookmarkEnd w:id="0"/>
      <w:r w:rsidR="00B314D9">
        <w:rPr>
          <w:rFonts w:ascii="Arial" w:hAnsi="Arial" w:cs="Arial"/>
          <w:sz w:val="20"/>
          <w:szCs w:val="20"/>
        </w:rPr>
        <w:t>, as the operators stabilise following the impact of 2020.</w:t>
      </w:r>
      <w:r w:rsidR="005524A4">
        <w:rPr>
          <w:rFonts w:ascii="Arial" w:hAnsi="Arial" w:cs="Arial"/>
          <w:sz w:val="20"/>
          <w:szCs w:val="20"/>
        </w:rPr>
        <w:t>”</w:t>
      </w:r>
    </w:p>
    <w:p w14:paraId="3913A106" w14:textId="1804FE18" w:rsidR="00CF3F7F" w:rsidRPr="007446FD" w:rsidRDefault="00DB1AE2" w:rsidP="007446FD">
      <w:pPr>
        <w:rPr>
          <w:rFonts w:ascii="Arial" w:hAnsi="Arial" w:cs="Arial"/>
          <w:sz w:val="20"/>
          <w:szCs w:val="20"/>
        </w:rPr>
      </w:pPr>
      <w:r>
        <w:rPr>
          <w:rFonts w:ascii="Arial" w:hAnsi="Arial" w:cs="Arial"/>
          <w:sz w:val="20"/>
          <w:szCs w:val="20"/>
        </w:rPr>
        <w:t xml:space="preserve">Find out more about the Lumina Intelligence Operator Data Index </w:t>
      </w:r>
      <w:hyperlink r:id="rId7" w:history="1">
        <w:r w:rsidRPr="00DB1AE2">
          <w:rPr>
            <w:rStyle w:val="Hyperlink"/>
            <w:rFonts w:ascii="Arial" w:hAnsi="Arial" w:cs="Arial"/>
            <w:sz w:val="20"/>
            <w:szCs w:val="20"/>
          </w:rPr>
          <w:t>here</w:t>
        </w:r>
      </w:hyperlink>
      <w:r>
        <w:rPr>
          <w:rFonts w:ascii="Arial" w:hAnsi="Arial" w:cs="Arial"/>
          <w:sz w:val="20"/>
          <w:szCs w:val="20"/>
        </w:rPr>
        <w:t>.</w:t>
      </w:r>
    </w:p>
    <w:p w14:paraId="2DC5233D" w14:textId="0710E01C" w:rsidR="00ED3ABD" w:rsidRDefault="00C16ADB">
      <w:pPr>
        <w:rPr>
          <w:rFonts w:ascii="Arial" w:hAnsi="Arial" w:cs="Arial"/>
          <w:b/>
          <w:bCs/>
        </w:rPr>
      </w:pPr>
      <w:r w:rsidRPr="00550B08">
        <w:rPr>
          <w:rFonts w:ascii="Arial" w:hAnsi="Arial" w:cs="Arial"/>
          <w:b/>
          <w:bCs/>
        </w:rPr>
        <w:t>ENDS</w:t>
      </w:r>
    </w:p>
    <w:p w14:paraId="2D7233D1" w14:textId="77777777" w:rsidR="00DB1AE2" w:rsidRPr="00CF3F7F" w:rsidRDefault="00DB1AE2">
      <w:pPr>
        <w:rPr>
          <w:rFonts w:ascii="Arial" w:hAnsi="Arial" w:cs="Arial"/>
          <w:b/>
          <w:bCs/>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68FDB6D8" w14:textId="054B6D77" w:rsidR="007446FD" w:rsidRDefault="00337BC2" w:rsidP="00DB1AE2">
      <w:pPr>
        <w:rPr>
          <w:rFonts w:ascii="Arial" w:hAnsi="Arial" w:cs="Arial"/>
          <w:sz w:val="20"/>
          <w:szCs w:val="20"/>
        </w:rPr>
      </w:pPr>
      <w:r w:rsidRPr="00EA6ECD">
        <w:rPr>
          <w:rFonts w:ascii="Arial" w:hAnsi="Arial" w:cs="Arial"/>
          <w:sz w:val="20"/>
          <w:szCs w:val="20"/>
        </w:rPr>
        <w:t xml:space="preserve">The Lumina Intelligence </w:t>
      </w:r>
      <w:r w:rsidR="00DB1AE2">
        <w:rPr>
          <w:rFonts w:ascii="Arial" w:hAnsi="Arial" w:cs="Arial"/>
          <w:sz w:val="20"/>
          <w:szCs w:val="20"/>
        </w:rPr>
        <w:t>Operator Data Index</w:t>
      </w:r>
      <w:r w:rsidR="00853668">
        <w:rPr>
          <w:rFonts w:ascii="Arial" w:hAnsi="Arial" w:cs="Arial"/>
          <w:sz w:val="20"/>
          <w:szCs w:val="20"/>
        </w:rPr>
        <w:t xml:space="preserve"> is a tool that tracks the</w:t>
      </w:r>
      <w:r w:rsidR="00DB1AE2" w:rsidRPr="00DB1AE2">
        <w:rPr>
          <w:rFonts w:ascii="Arial" w:hAnsi="Arial" w:cs="Arial"/>
          <w:sz w:val="20"/>
          <w:szCs w:val="20"/>
        </w:rPr>
        <w:t xml:space="preserve"> performance of hospitality</w:t>
      </w:r>
      <w:r w:rsidR="00853668">
        <w:rPr>
          <w:rFonts w:ascii="Arial" w:hAnsi="Arial" w:cs="Arial"/>
          <w:sz w:val="20"/>
          <w:szCs w:val="20"/>
        </w:rPr>
        <w:t xml:space="preserve"> </w:t>
      </w:r>
      <w:r w:rsidR="00DB1AE2" w:rsidRPr="00DB1AE2">
        <w:rPr>
          <w:rFonts w:ascii="Arial" w:hAnsi="Arial" w:cs="Arial"/>
          <w:sz w:val="20"/>
          <w:szCs w:val="20"/>
        </w:rPr>
        <w:t>operators, providing market rankings based on turnover and outlet numbers, segmented by sub-channels.</w:t>
      </w:r>
      <w:r w:rsidR="00853668">
        <w:rPr>
          <w:rFonts w:ascii="Arial" w:hAnsi="Arial" w:cs="Arial"/>
          <w:sz w:val="20"/>
          <w:szCs w:val="20"/>
        </w:rPr>
        <w:t xml:space="preserve"> </w:t>
      </w:r>
    </w:p>
    <w:p w14:paraId="39B30FF3" w14:textId="2455B3FF" w:rsidR="00853668" w:rsidRDefault="00853668" w:rsidP="00DB1AE2">
      <w:pPr>
        <w:rPr>
          <w:rFonts w:ascii="Arial" w:hAnsi="Arial" w:cs="Arial"/>
          <w:sz w:val="20"/>
          <w:szCs w:val="20"/>
        </w:rPr>
      </w:pPr>
      <w:r>
        <w:rPr>
          <w:rFonts w:ascii="Arial" w:hAnsi="Arial" w:cs="Arial"/>
          <w:sz w:val="20"/>
          <w:szCs w:val="20"/>
        </w:rPr>
        <w:lastRenderedPageBreak/>
        <w:t>Our Operator Data Index includes:</w:t>
      </w:r>
    </w:p>
    <w:p w14:paraId="4AD22B9D" w14:textId="77777777" w:rsidR="00853668" w:rsidRPr="00853668" w:rsidRDefault="00853668" w:rsidP="00853668">
      <w:pPr>
        <w:pStyle w:val="ListParagraph"/>
        <w:numPr>
          <w:ilvl w:val="0"/>
          <w:numId w:val="6"/>
        </w:numPr>
        <w:rPr>
          <w:rFonts w:ascii="Arial" w:hAnsi="Arial" w:cs="Arial"/>
          <w:sz w:val="20"/>
          <w:szCs w:val="20"/>
        </w:rPr>
      </w:pPr>
      <w:r w:rsidRPr="00853668">
        <w:rPr>
          <w:rFonts w:ascii="Arial" w:hAnsi="Arial" w:cs="Arial"/>
          <w:sz w:val="20"/>
          <w:szCs w:val="20"/>
        </w:rPr>
        <w:t>Comprehensive data on 700+ leading UK hospitality operators</w:t>
      </w:r>
    </w:p>
    <w:p w14:paraId="47C03818" w14:textId="701C9D8A" w:rsidR="007446FD" w:rsidRPr="00106EA2" w:rsidRDefault="00853668" w:rsidP="00106EA2">
      <w:pPr>
        <w:pStyle w:val="ListParagraph"/>
        <w:numPr>
          <w:ilvl w:val="0"/>
          <w:numId w:val="6"/>
        </w:numPr>
        <w:rPr>
          <w:rFonts w:ascii="Arial" w:hAnsi="Arial" w:cs="Arial"/>
          <w:b/>
          <w:bCs/>
          <w:sz w:val="20"/>
          <w:szCs w:val="20"/>
        </w:rPr>
      </w:pPr>
      <w:r w:rsidRPr="00106EA2">
        <w:rPr>
          <w:rFonts w:ascii="Arial" w:hAnsi="Arial" w:cs="Arial"/>
          <w:sz w:val="20"/>
          <w:szCs w:val="20"/>
        </w:rPr>
        <w:t>Access market rankings, sales and outlet counts</w:t>
      </w:r>
      <w:r w:rsidR="00106EA2">
        <w:rPr>
          <w:rFonts w:ascii="Arial" w:hAnsi="Arial" w:cs="Arial"/>
          <w:sz w:val="20"/>
          <w:szCs w:val="20"/>
        </w:rPr>
        <w:t xml:space="preserve"> and</w:t>
      </w:r>
      <w:r w:rsidRPr="00106EA2">
        <w:rPr>
          <w:rFonts w:ascii="Arial" w:hAnsi="Arial" w:cs="Arial"/>
          <w:sz w:val="20"/>
          <w:szCs w:val="20"/>
        </w:rPr>
        <w:t xml:space="preserve"> monthly analysis presentations</w:t>
      </w:r>
      <w:r w:rsidR="00106EA2">
        <w:rPr>
          <w:rFonts w:ascii="Arial" w:hAnsi="Arial" w:cs="Arial"/>
          <w:sz w:val="20"/>
          <w:szCs w:val="20"/>
        </w:rPr>
        <w:t>.</w:t>
      </w:r>
    </w:p>
    <w:p w14:paraId="4CEA97D8" w14:textId="3DF6FFC4"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1A1663"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F7A54"/>
    <w:multiLevelType w:val="hybridMultilevel"/>
    <w:tmpl w:val="5BEE4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884E56"/>
    <w:multiLevelType w:val="hybridMultilevel"/>
    <w:tmpl w:val="E9C4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005DF4"/>
    <w:multiLevelType w:val="hybridMultilevel"/>
    <w:tmpl w:val="2202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10136A"/>
    <w:rsid w:val="00106EA2"/>
    <w:rsid w:val="00113451"/>
    <w:rsid w:val="00116246"/>
    <w:rsid w:val="001249C3"/>
    <w:rsid w:val="001A1663"/>
    <w:rsid w:val="001C426A"/>
    <w:rsid w:val="002310C4"/>
    <w:rsid w:val="002A1EC7"/>
    <w:rsid w:val="00337BC2"/>
    <w:rsid w:val="0034594F"/>
    <w:rsid w:val="00347884"/>
    <w:rsid w:val="00363346"/>
    <w:rsid w:val="00392B4B"/>
    <w:rsid w:val="003B0DC6"/>
    <w:rsid w:val="003C4BB2"/>
    <w:rsid w:val="003C7911"/>
    <w:rsid w:val="004A4938"/>
    <w:rsid w:val="004B1EBA"/>
    <w:rsid w:val="00550B08"/>
    <w:rsid w:val="005524A4"/>
    <w:rsid w:val="00553497"/>
    <w:rsid w:val="00566CAE"/>
    <w:rsid w:val="005C3028"/>
    <w:rsid w:val="005C6F8E"/>
    <w:rsid w:val="0064772D"/>
    <w:rsid w:val="006663E0"/>
    <w:rsid w:val="006E79FF"/>
    <w:rsid w:val="007221DF"/>
    <w:rsid w:val="007229E3"/>
    <w:rsid w:val="007446FD"/>
    <w:rsid w:val="00755025"/>
    <w:rsid w:val="00790D17"/>
    <w:rsid w:val="007D1EA3"/>
    <w:rsid w:val="008276B8"/>
    <w:rsid w:val="00846DDB"/>
    <w:rsid w:val="00853668"/>
    <w:rsid w:val="008844D2"/>
    <w:rsid w:val="008D4655"/>
    <w:rsid w:val="00987209"/>
    <w:rsid w:val="009C613A"/>
    <w:rsid w:val="009D081A"/>
    <w:rsid w:val="009D1543"/>
    <w:rsid w:val="00A71DF8"/>
    <w:rsid w:val="00AB4CBA"/>
    <w:rsid w:val="00B314D9"/>
    <w:rsid w:val="00B41231"/>
    <w:rsid w:val="00B46E6F"/>
    <w:rsid w:val="00B8731A"/>
    <w:rsid w:val="00BB4747"/>
    <w:rsid w:val="00C16ADB"/>
    <w:rsid w:val="00C545F0"/>
    <w:rsid w:val="00CE6B8A"/>
    <w:rsid w:val="00CF3F7F"/>
    <w:rsid w:val="00D14D82"/>
    <w:rsid w:val="00D25202"/>
    <w:rsid w:val="00D308D1"/>
    <w:rsid w:val="00DB1AE2"/>
    <w:rsid w:val="00DB3708"/>
    <w:rsid w:val="00DB5975"/>
    <w:rsid w:val="00DE4ABE"/>
    <w:rsid w:val="00E56A95"/>
    <w:rsid w:val="00EA6ECD"/>
    <w:rsid w:val="00ED3ABD"/>
    <w:rsid w:val="00F63594"/>
    <w:rsid w:val="00F8063C"/>
    <w:rsid w:val="00F837FF"/>
    <w:rsid w:val="00F97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EA6ECD"/>
    <w:rPr>
      <w:sz w:val="16"/>
      <w:szCs w:val="16"/>
    </w:rPr>
  </w:style>
  <w:style w:type="paragraph" w:styleId="CommentText">
    <w:name w:val="annotation text"/>
    <w:basedOn w:val="Normal"/>
    <w:link w:val="CommentTextChar"/>
    <w:uiPriority w:val="99"/>
    <w:semiHidden/>
    <w:unhideWhenUsed/>
    <w:rsid w:val="00EA6ECD"/>
    <w:pPr>
      <w:spacing w:line="240" w:lineRule="auto"/>
    </w:pPr>
    <w:rPr>
      <w:sz w:val="20"/>
      <w:szCs w:val="20"/>
    </w:rPr>
  </w:style>
  <w:style w:type="character" w:customStyle="1" w:styleId="CommentTextChar">
    <w:name w:val="Comment Text Char"/>
    <w:basedOn w:val="DefaultParagraphFont"/>
    <w:link w:val="CommentText"/>
    <w:uiPriority w:val="99"/>
    <w:semiHidden/>
    <w:rsid w:val="00EA6ECD"/>
    <w:rPr>
      <w:sz w:val="20"/>
      <w:szCs w:val="20"/>
    </w:rPr>
  </w:style>
  <w:style w:type="paragraph" w:styleId="CommentSubject">
    <w:name w:val="annotation subject"/>
    <w:basedOn w:val="CommentText"/>
    <w:next w:val="CommentText"/>
    <w:link w:val="CommentSubjectChar"/>
    <w:uiPriority w:val="99"/>
    <w:semiHidden/>
    <w:unhideWhenUsed/>
    <w:rsid w:val="00EA6ECD"/>
    <w:rPr>
      <w:b/>
      <w:bCs/>
    </w:rPr>
  </w:style>
  <w:style w:type="character" w:customStyle="1" w:styleId="CommentSubjectChar">
    <w:name w:val="Comment Subject Char"/>
    <w:basedOn w:val="CommentTextChar"/>
    <w:link w:val="CommentSubject"/>
    <w:uiPriority w:val="99"/>
    <w:semiHidden/>
    <w:rsid w:val="00EA6ECD"/>
    <w:rPr>
      <w:b/>
      <w:bCs/>
      <w:sz w:val="20"/>
      <w:szCs w:val="20"/>
    </w:rPr>
  </w:style>
  <w:style w:type="table" w:styleId="TableGrid">
    <w:name w:val="Table Grid"/>
    <w:basedOn w:val="TableNormal"/>
    <w:uiPriority w:val="39"/>
    <w:rsid w:val="00AB4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operator-data-index-grocery-data-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3</cp:revision>
  <dcterms:created xsi:type="dcterms:W3CDTF">2021-01-29T11:46:00Z</dcterms:created>
  <dcterms:modified xsi:type="dcterms:W3CDTF">2021-01-29T12:36:00Z</dcterms:modified>
</cp:coreProperties>
</file>