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90962"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1E6B74B" w:rsidR="00ED3ABD" w:rsidRPr="00550B08" w:rsidRDefault="00A00FB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420DAF">
        <w:rPr>
          <w:rStyle w:val="Hyperlink"/>
          <w:rFonts w:ascii="Arial" w:hAnsi="Arial" w:cs="Arial"/>
          <w:b/>
          <w:bCs/>
          <w:color w:val="505050"/>
          <w:sz w:val="18"/>
          <w:szCs w:val="18"/>
          <w:u w:val="none"/>
        </w:rPr>
        <w:t>3</w:t>
      </w:r>
      <w:r w:rsidR="004D23F6">
        <w:rPr>
          <w:rStyle w:val="Hyperlink"/>
          <w:rFonts w:ascii="Arial" w:hAnsi="Arial" w:cs="Arial"/>
          <w:b/>
          <w:bCs/>
          <w:color w:val="505050"/>
          <w:sz w:val="18"/>
          <w:szCs w:val="18"/>
          <w:u w:val="none"/>
        </w:rPr>
        <w:t xml:space="preserve"> </w:t>
      </w:r>
      <w:r w:rsidR="00420DAF">
        <w:rPr>
          <w:rStyle w:val="Hyperlink"/>
          <w:rFonts w:ascii="Arial" w:hAnsi="Arial" w:cs="Arial"/>
          <w:b/>
          <w:bCs/>
          <w:color w:val="505050"/>
          <w:sz w:val="18"/>
          <w:szCs w:val="18"/>
          <w:u w:val="none"/>
        </w:rPr>
        <w:t>March</w:t>
      </w:r>
      <w:r w:rsidR="003C4BB2" w:rsidRPr="00550B08">
        <w:rPr>
          <w:rStyle w:val="Hyperlink"/>
          <w:rFonts w:ascii="Arial" w:hAnsi="Arial" w:cs="Arial"/>
          <w:b/>
          <w:bCs/>
          <w:color w:val="505050"/>
          <w:sz w:val="18"/>
          <w:szCs w:val="18"/>
          <w:u w:val="none"/>
        </w:rPr>
        <w:t xml:space="preserve"> 202</w:t>
      </w:r>
      <w:r w:rsidR="00420DAF">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59F80470" w:rsidR="0055150D" w:rsidRDefault="00420DAF" w:rsidP="00D31B4F">
      <w:pPr>
        <w:jc w:val="center"/>
        <w:rPr>
          <w:rFonts w:ascii="Arial" w:hAnsi="Arial" w:cs="Arial"/>
          <w:b/>
          <w:bCs/>
          <w:sz w:val="32"/>
          <w:szCs w:val="32"/>
        </w:rPr>
      </w:pPr>
      <w:r>
        <w:rPr>
          <w:rFonts w:ascii="Arial" w:hAnsi="Arial" w:cs="Arial"/>
          <w:b/>
          <w:bCs/>
          <w:sz w:val="32"/>
          <w:szCs w:val="32"/>
        </w:rPr>
        <w:t xml:space="preserve">Visit frequency, basket size and spend in convenience all </w:t>
      </w:r>
      <w:r w:rsidR="00977CB4">
        <w:rPr>
          <w:rFonts w:ascii="Arial" w:hAnsi="Arial" w:cs="Arial"/>
          <w:b/>
          <w:bCs/>
          <w:sz w:val="32"/>
          <w:szCs w:val="32"/>
        </w:rPr>
        <w:t>increase</w:t>
      </w:r>
      <w:r>
        <w:rPr>
          <w:rFonts w:ascii="Arial" w:hAnsi="Arial" w:cs="Arial"/>
          <w:b/>
          <w:bCs/>
          <w:sz w:val="32"/>
          <w:szCs w:val="32"/>
        </w:rPr>
        <w:t xml:space="preserve"> during Lockdown</w:t>
      </w:r>
    </w:p>
    <w:p w14:paraId="3C891F12" w14:textId="77777777" w:rsidR="00D31B4F" w:rsidRPr="00D31B4F" w:rsidRDefault="00D31B4F" w:rsidP="00D31B4F">
      <w:pPr>
        <w:jc w:val="center"/>
        <w:rPr>
          <w:rFonts w:ascii="Arial" w:hAnsi="Arial" w:cs="Arial"/>
          <w:b/>
          <w:bCs/>
          <w:sz w:val="32"/>
          <w:szCs w:val="32"/>
        </w:rPr>
      </w:pPr>
    </w:p>
    <w:p w14:paraId="2CB148EE" w14:textId="73C79E5A" w:rsidR="0064731C" w:rsidRDefault="00420DAF" w:rsidP="008E5A63">
      <w:pPr>
        <w:rPr>
          <w:rFonts w:ascii="Arial" w:hAnsi="Arial" w:cs="Arial"/>
          <w:b/>
          <w:bCs/>
          <w:sz w:val="20"/>
          <w:szCs w:val="20"/>
        </w:rPr>
      </w:pPr>
      <w:r>
        <w:rPr>
          <w:rFonts w:ascii="Arial" w:hAnsi="Arial" w:cs="Arial"/>
          <w:b/>
          <w:bCs/>
          <w:sz w:val="20"/>
          <w:szCs w:val="20"/>
        </w:rPr>
        <w:t>According to the latest insight from Lumina Intelligence’s Convenience Tracking Programme, compared to the 4WE 10</w:t>
      </w:r>
      <w:r w:rsidR="00CB611A">
        <w:rPr>
          <w:rFonts w:ascii="Arial" w:hAnsi="Arial" w:cs="Arial"/>
          <w:b/>
          <w:bCs/>
          <w:sz w:val="20"/>
          <w:szCs w:val="20"/>
        </w:rPr>
        <w:t>/01</w:t>
      </w:r>
      <w:r>
        <w:rPr>
          <w:rFonts w:ascii="Arial" w:hAnsi="Arial" w:cs="Arial"/>
          <w:b/>
          <w:bCs/>
          <w:sz w:val="20"/>
          <w:szCs w:val="20"/>
        </w:rPr>
        <w:t>, the UK convenience retail channel</w:t>
      </w:r>
      <w:r w:rsidR="0064731C">
        <w:rPr>
          <w:rFonts w:ascii="Arial" w:hAnsi="Arial" w:cs="Arial"/>
          <w:b/>
          <w:bCs/>
          <w:sz w:val="20"/>
          <w:szCs w:val="20"/>
        </w:rPr>
        <w:t xml:space="preserve"> has seen growth in average shopper visit frequency, average basket spend and average basket size.</w:t>
      </w:r>
    </w:p>
    <w:p w14:paraId="7C1134C7" w14:textId="4A8F2493" w:rsidR="00420DAF" w:rsidRPr="0064731C" w:rsidRDefault="0064731C" w:rsidP="008E5A63">
      <w:pPr>
        <w:rPr>
          <w:rFonts w:ascii="Arial" w:hAnsi="Arial" w:cs="Arial"/>
          <w:sz w:val="20"/>
          <w:szCs w:val="20"/>
        </w:rPr>
      </w:pPr>
      <w:r w:rsidRPr="0064731C">
        <w:rPr>
          <w:rFonts w:ascii="Arial" w:hAnsi="Arial" w:cs="Arial"/>
          <w:sz w:val="20"/>
          <w:szCs w:val="20"/>
        </w:rPr>
        <w:t>I</w:t>
      </w:r>
      <w:r w:rsidR="00420DAF" w:rsidRPr="0064731C">
        <w:rPr>
          <w:rFonts w:ascii="Arial" w:hAnsi="Arial" w:cs="Arial"/>
          <w:sz w:val="20"/>
          <w:szCs w:val="20"/>
        </w:rPr>
        <w:t>n the 4</w:t>
      </w:r>
      <w:r w:rsidRPr="0064731C">
        <w:rPr>
          <w:rFonts w:ascii="Arial" w:hAnsi="Arial" w:cs="Arial"/>
          <w:sz w:val="20"/>
          <w:szCs w:val="20"/>
        </w:rPr>
        <w:t>WE</w:t>
      </w:r>
      <w:r w:rsidR="00420DAF" w:rsidRPr="0064731C">
        <w:rPr>
          <w:rFonts w:ascii="Arial" w:hAnsi="Arial" w:cs="Arial"/>
          <w:sz w:val="20"/>
          <w:szCs w:val="20"/>
        </w:rPr>
        <w:t xml:space="preserve"> 07/02, the average basket size in convenience was 5.3 items</w:t>
      </w:r>
      <w:r w:rsidRPr="0064731C">
        <w:rPr>
          <w:rFonts w:ascii="Arial" w:hAnsi="Arial" w:cs="Arial"/>
          <w:sz w:val="20"/>
          <w:szCs w:val="20"/>
        </w:rPr>
        <w:t xml:space="preserve"> – up 6%</w:t>
      </w:r>
      <w:r w:rsidR="00420DAF" w:rsidRPr="0064731C">
        <w:rPr>
          <w:rFonts w:ascii="Arial" w:hAnsi="Arial" w:cs="Arial"/>
          <w:sz w:val="20"/>
          <w:szCs w:val="20"/>
        </w:rPr>
        <w:t>, the average visit frequency was 2.8 times</w:t>
      </w:r>
      <w:r w:rsidR="00A90962">
        <w:rPr>
          <w:rFonts w:ascii="Arial" w:hAnsi="Arial" w:cs="Arial"/>
          <w:sz w:val="20"/>
          <w:szCs w:val="20"/>
        </w:rPr>
        <w:t xml:space="preserve"> </w:t>
      </w:r>
      <w:r w:rsidRPr="0064731C">
        <w:rPr>
          <w:rFonts w:ascii="Arial" w:hAnsi="Arial" w:cs="Arial"/>
          <w:sz w:val="20"/>
          <w:szCs w:val="20"/>
        </w:rPr>
        <w:t>– up 4%</w:t>
      </w:r>
      <w:r w:rsidR="00420DAF" w:rsidRPr="0064731C">
        <w:rPr>
          <w:rFonts w:ascii="Arial" w:hAnsi="Arial" w:cs="Arial"/>
          <w:sz w:val="20"/>
          <w:szCs w:val="20"/>
        </w:rPr>
        <w:t xml:space="preserve"> and the average value of a convenience shopper was £66.73</w:t>
      </w:r>
      <w:r w:rsidRPr="0064731C">
        <w:rPr>
          <w:rFonts w:ascii="Arial" w:hAnsi="Arial" w:cs="Arial"/>
          <w:sz w:val="20"/>
          <w:szCs w:val="20"/>
        </w:rPr>
        <w:t xml:space="preserve"> – up 10%</w:t>
      </w:r>
      <w:r w:rsidR="00420DAF" w:rsidRPr="0064731C">
        <w:rPr>
          <w:rFonts w:ascii="Arial" w:hAnsi="Arial" w:cs="Arial"/>
          <w:sz w:val="20"/>
          <w:szCs w:val="20"/>
        </w:rPr>
        <w:t>.</w:t>
      </w:r>
    </w:p>
    <w:p w14:paraId="61F2F783" w14:textId="06926756" w:rsidR="00001A90" w:rsidRDefault="00CB611A" w:rsidP="00EA1B39">
      <w:pPr>
        <w:rPr>
          <w:rFonts w:ascii="Arial" w:hAnsi="Arial" w:cs="Arial"/>
          <w:sz w:val="20"/>
          <w:szCs w:val="20"/>
        </w:rPr>
      </w:pPr>
      <w:r>
        <w:rPr>
          <w:rFonts w:ascii="Arial" w:hAnsi="Arial" w:cs="Arial"/>
          <w:sz w:val="20"/>
          <w:szCs w:val="20"/>
        </w:rPr>
        <w:t>Planned top-up remains the number one mission driving shoppers to convenience stores, accounting for a third of all visits in the 4WE 07/02. Versus the previous 4WE meal occasions has overtaken newsagent as the second biggest mission, accounting for over 14% of trips – up 1.7ppts.</w:t>
      </w:r>
    </w:p>
    <w:p w14:paraId="5C10EBB0" w14:textId="13FC3D2C" w:rsidR="00001A90" w:rsidRDefault="00CB611A" w:rsidP="00CB611A">
      <w:pPr>
        <w:rPr>
          <w:rFonts w:ascii="Arial" w:hAnsi="Arial" w:cs="Arial"/>
          <w:sz w:val="20"/>
          <w:szCs w:val="20"/>
        </w:rPr>
      </w:pPr>
      <w:r>
        <w:rPr>
          <w:rFonts w:ascii="Arial" w:hAnsi="Arial" w:cs="Arial"/>
          <w:sz w:val="20"/>
          <w:szCs w:val="20"/>
        </w:rPr>
        <w:t xml:space="preserve">The proportion of convenience store baskets that include price marked packs has also grown – up 1ppt versus 4WE 10/01. Overall, half of convenience baskets include price marked packs. </w:t>
      </w:r>
      <w:r w:rsidRPr="00CB611A">
        <w:rPr>
          <w:rFonts w:ascii="Arial" w:hAnsi="Arial" w:cs="Arial"/>
          <w:sz w:val="20"/>
          <w:szCs w:val="20"/>
        </w:rPr>
        <w:t xml:space="preserve">Soft drinks </w:t>
      </w:r>
      <w:r>
        <w:rPr>
          <w:rFonts w:ascii="Arial" w:hAnsi="Arial" w:cs="Arial"/>
          <w:sz w:val="20"/>
          <w:szCs w:val="20"/>
        </w:rPr>
        <w:t xml:space="preserve">have </w:t>
      </w:r>
      <w:r w:rsidRPr="00CB611A">
        <w:rPr>
          <w:rFonts w:ascii="Arial" w:hAnsi="Arial" w:cs="Arial"/>
          <w:sz w:val="20"/>
          <w:szCs w:val="20"/>
        </w:rPr>
        <w:t>move</w:t>
      </w:r>
      <w:r>
        <w:rPr>
          <w:rFonts w:ascii="Arial" w:hAnsi="Arial" w:cs="Arial"/>
          <w:sz w:val="20"/>
          <w:szCs w:val="20"/>
        </w:rPr>
        <w:t>d</w:t>
      </w:r>
      <w:r w:rsidRPr="00CB611A">
        <w:rPr>
          <w:rFonts w:ascii="Arial" w:hAnsi="Arial" w:cs="Arial"/>
          <w:sz w:val="20"/>
          <w:szCs w:val="20"/>
        </w:rPr>
        <w:t xml:space="preserve"> from the </w:t>
      </w:r>
      <w:r>
        <w:rPr>
          <w:rFonts w:ascii="Arial" w:hAnsi="Arial" w:cs="Arial"/>
          <w:sz w:val="20"/>
          <w:szCs w:val="20"/>
        </w:rPr>
        <w:t>fifth</w:t>
      </w:r>
      <w:r w:rsidRPr="00CB611A">
        <w:rPr>
          <w:rFonts w:ascii="Arial" w:hAnsi="Arial" w:cs="Arial"/>
          <w:sz w:val="20"/>
          <w:szCs w:val="20"/>
        </w:rPr>
        <w:t xml:space="preserve"> most</w:t>
      </w:r>
      <w:r>
        <w:rPr>
          <w:rFonts w:ascii="Arial" w:hAnsi="Arial" w:cs="Arial"/>
          <w:sz w:val="20"/>
          <w:szCs w:val="20"/>
        </w:rPr>
        <w:t xml:space="preserve"> </w:t>
      </w:r>
      <w:r w:rsidRPr="00CB611A">
        <w:rPr>
          <w:rFonts w:ascii="Arial" w:hAnsi="Arial" w:cs="Arial"/>
          <w:sz w:val="20"/>
          <w:szCs w:val="20"/>
        </w:rPr>
        <w:t>purchased category for PMPs to</w:t>
      </w:r>
      <w:r>
        <w:rPr>
          <w:rFonts w:ascii="Arial" w:hAnsi="Arial" w:cs="Arial"/>
          <w:sz w:val="20"/>
          <w:szCs w:val="20"/>
        </w:rPr>
        <w:t xml:space="preserve"> </w:t>
      </w:r>
      <w:r w:rsidRPr="00CB611A">
        <w:rPr>
          <w:rFonts w:ascii="Arial" w:hAnsi="Arial" w:cs="Arial"/>
          <w:sz w:val="20"/>
          <w:szCs w:val="20"/>
        </w:rPr>
        <w:t>third, highlighting the success of</w:t>
      </w:r>
      <w:r>
        <w:rPr>
          <w:rFonts w:ascii="Arial" w:hAnsi="Arial" w:cs="Arial"/>
          <w:sz w:val="20"/>
          <w:szCs w:val="20"/>
        </w:rPr>
        <w:t xml:space="preserve"> </w:t>
      </w:r>
      <w:r w:rsidRPr="00CB611A">
        <w:rPr>
          <w:rFonts w:ascii="Arial" w:hAnsi="Arial" w:cs="Arial"/>
          <w:sz w:val="20"/>
          <w:szCs w:val="20"/>
        </w:rPr>
        <w:t>PMP price cut initiatives, such as</w:t>
      </w:r>
      <w:r>
        <w:rPr>
          <w:rFonts w:ascii="Arial" w:hAnsi="Arial" w:cs="Arial"/>
          <w:sz w:val="20"/>
          <w:szCs w:val="20"/>
        </w:rPr>
        <w:t xml:space="preserve"> </w:t>
      </w:r>
      <w:r w:rsidRPr="00CB611A">
        <w:rPr>
          <w:rFonts w:ascii="Arial" w:hAnsi="Arial" w:cs="Arial"/>
          <w:sz w:val="20"/>
          <w:szCs w:val="20"/>
        </w:rPr>
        <w:t>Coca Cola’s, which tap into</w:t>
      </w:r>
      <w:r>
        <w:rPr>
          <w:rFonts w:ascii="Arial" w:hAnsi="Arial" w:cs="Arial"/>
          <w:sz w:val="20"/>
          <w:szCs w:val="20"/>
        </w:rPr>
        <w:t xml:space="preserve"> </w:t>
      </w:r>
      <w:r w:rsidRPr="00CB611A">
        <w:rPr>
          <w:rFonts w:ascii="Arial" w:hAnsi="Arial" w:cs="Arial"/>
          <w:sz w:val="20"/>
          <w:szCs w:val="20"/>
        </w:rPr>
        <w:t>consumer demand for value.</w:t>
      </w:r>
      <w:r>
        <w:rPr>
          <w:rFonts w:ascii="Arial" w:hAnsi="Arial" w:cs="Arial"/>
          <w:sz w:val="20"/>
          <w:szCs w:val="20"/>
        </w:rPr>
        <w:t xml:space="preserve"> The top three categories for PMPs are:</w:t>
      </w:r>
    </w:p>
    <w:tbl>
      <w:tblPr>
        <w:tblStyle w:val="TableGrid"/>
        <w:tblW w:w="0" w:type="auto"/>
        <w:tblLook w:val="04A0" w:firstRow="1" w:lastRow="0" w:firstColumn="1" w:lastColumn="0" w:noHBand="0" w:noVBand="1"/>
      </w:tblPr>
      <w:tblGrid>
        <w:gridCol w:w="2405"/>
        <w:gridCol w:w="851"/>
      </w:tblGrid>
      <w:tr w:rsidR="00CB611A" w14:paraId="596B9CE2" w14:textId="77777777" w:rsidTr="00CB611A">
        <w:tc>
          <w:tcPr>
            <w:tcW w:w="2405" w:type="dxa"/>
          </w:tcPr>
          <w:p w14:paraId="700842A4" w14:textId="27405AE9" w:rsidR="00CB611A" w:rsidRDefault="00CB611A" w:rsidP="00CB611A">
            <w:pPr>
              <w:rPr>
                <w:rFonts w:ascii="Arial" w:hAnsi="Arial" w:cs="Arial"/>
                <w:sz w:val="20"/>
                <w:szCs w:val="20"/>
              </w:rPr>
            </w:pPr>
            <w:r>
              <w:rPr>
                <w:rFonts w:ascii="Arial" w:hAnsi="Arial" w:cs="Arial"/>
                <w:sz w:val="20"/>
                <w:szCs w:val="20"/>
              </w:rPr>
              <w:t>Chilled foods (exc. milk)</w:t>
            </w:r>
          </w:p>
        </w:tc>
        <w:tc>
          <w:tcPr>
            <w:tcW w:w="851" w:type="dxa"/>
          </w:tcPr>
          <w:p w14:paraId="07F1919B" w14:textId="2803C8D7" w:rsidR="00CB611A" w:rsidRDefault="00CB611A" w:rsidP="00CB611A">
            <w:pPr>
              <w:rPr>
                <w:rFonts w:ascii="Arial" w:hAnsi="Arial" w:cs="Arial"/>
                <w:sz w:val="20"/>
                <w:szCs w:val="20"/>
              </w:rPr>
            </w:pPr>
            <w:r>
              <w:rPr>
                <w:rFonts w:ascii="Arial" w:hAnsi="Arial" w:cs="Arial"/>
                <w:sz w:val="20"/>
                <w:szCs w:val="20"/>
              </w:rPr>
              <w:t>13.0%</w:t>
            </w:r>
          </w:p>
        </w:tc>
      </w:tr>
      <w:tr w:rsidR="00CB611A" w14:paraId="02380F35" w14:textId="77777777" w:rsidTr="00CB611A">
        <w:tc>
          <w:tcPr>
            <w:tcW w:w="2405" w:type="dxa"/>
          </w:tcPr>
          <w:p w14:paraId="106E5F13" w14:textId="224E3510" w:rsidR="00CB611A" w:rsidRDefault="00CB611A" w:rsidP="00CB611A">
            <w:pPr>
              <w:rPr>
                <w:rFonts w:ascii="Arial" w:hAnsi="Arial" w:cs="Arial"/>
                <w:sz w:val="20"/>
                <w:szCs w:val="20"/>
              </w:rPr>
            </w:pPr>
            <w:r>
              <w:rPr>
                <w:rFonts w:ascii="Arial" w:hAnsi="Arial" w:cs="Arial"/>
                <w:sz w:val="20"/>
                <w:szCs w:val="20"/>
              </w:rPr>
              <w:t>Bakery (wrapped)</w:t>
            </w:r>
          </w:p>
        </w:tc>
        <w:tc>
          <w:tcPr>
            <w:tcW w:w="851" w:type="dxa"/>
          </w:tcPr>
          <w:p w14:paraId="75420EA0" w14:textId="491F54EC" w:rsidR="00CB611A" w:rsidRDefault="00CB611A" w:rsidP="00CB611A">
            <w:pPr>
              <w:rPr>
                <w:rFonts w:ascii="Arial" w:hAnsi="Arial" w:cs="Arial"/>
                <w:sz w:val="20"/>
                <w:szCs w:val="20"/>
              </w:rPr>
            </w:pPr>
            <w:r>
              <w:rPr>
                <w:rFonts w:ascii="Arial" w:hAnsi="Arial" w:cs="Arial"/>
                <w:sz w:val="20"/>
                <w:szCs w:val="20"/>
              </w:rPr>
              <w:t>9.9%</w:t>
            </w:r>
          </w:p>
        </w:tc>
      </w:tr>
      <w:tr w:rsidR="00CB611A" w14:paraId="61CA9133" w14:textId="77777777" w:rsidTr="00CB611A">
        <w:tc>
          <w:tcPr>
            <w:tcW w:w="2405" w:type="dxa"/>
          </w:tcPr>
          <w:p w14:paraId="3BAC1A21" w14:textId="4C134608" w:rsidR="00CB611A" w:rsidRDefault="00CB611A" w:rsidP="00CB611A">
            <w:pPr>
              <w:rPr>
                <w:rFonts w:ascii="Arial" w:hAnsi="Arial" w:cs="Arial"/>
                <w:sz w:val="20"/>
                <w:szCs w:val="20"/>
              </w:rPr>
            </w:pPr>
            <w:r>
              <w:rPr>
                <w:rFonts w:ascii="Arial" w:hAnsi="Arial" w:cs="Arial"/>
                <w:sz w:val="20"/>
                <w:szCs w:val="20"/>
              </w:rPr>
              <w:t>Soft Drinks</w:t>
            </w:r>
          </w:p>
        </w:tc>
        <w:tc>
          <w:tcPr>
            <w:tcW w:w="851" w:type="dxa"/>
          </w:tcPr>
          <w:p w14:paraId="54732E78" w14:textId="449A99C9" w:rsidR="00CB611A" w:rsidRDefault="00CB611A" w:rsidP="00CB611A">
            <w:pPr>
              <w:rPr>
                <w:rFonts w:ascii="Arial" w:hAnsi="Arial" w:cs="Arial"/>
                <w:sz w:val="20"/>
                <w:szCs w:val="20"/>
              </w:rPr>
            </w:pPr>
            <w:r>
              <w:rPr>
                <w:rFonts w:ascii="Arial" w:hAnsi="Arial" w:cs="Arial"/>
                <w:sz w:val="20"/>
                <w:szCs w:val="20"/>
              </w:rPr>
              <w:t>5.9%</w:t>
            </w:r>
          </w:p>
        </w:tc>
      </w:tr>
    </w:tbl>
    <w:p w14:paraId="69459DD4" w14:textId="77777777" w:rsidR="00001A90" w:rsidRDefault="00001A90" w:rsidP="00EA1B39">
      <w:pPr>
        <w:rPr>
          <w:rFonts w:ascii="Arial" w:hAnsi="Arial" w:cs="Arial"/>
          <w:sz w:val="20"/>
          <w:szCs w:val="20"/>
        </w:rPr>
      </w:pPr>
    </w:p>
    <w:p w14:paraId="6F2C5AFA" w14:textId="625AE876" w:rsidR="005268A2" w:rsidRDefault="00C96714" w:rsidP="00EA1B39">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sidR="00536193">
        <w:rPr>
          <w:rFonts w:ascii="Arial" w:hAnsi="Arial" w:cs="Arial"/>
          <w:sz w:val="20"/>
          <w:szCs w:val="20"/>
        </w:rPr>
        <w:t>Blonnie Whist</w:t>
      </w:r>
      <w:r>
        <w:rPr>
          <w:rFonts w:ascii="Arial" w:hAnsi="Arial" w:cs="Arial"/>
          <w:sz w:val="20"/>
          <w:szCs w:val="20"/>
        </w:rPr>
        <w:t xml:space="preserve">, </w:t>
      </w:r>
      <w:r w:rsidR="00536193">
        <w:rPr>
          <w:rFonts w:ascii="Arial" w:hAnsi="Arial" w:cs="Arial"/>
          <w:sz w:val="20"/>
          <w:szCs w:val="20"/>
        </w:rPr>
        <w:t>Head of Insight</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DA44AD">
        <w:rPr>
          <w:rFonts w:ascii="Arial" w:hAnsi="Arial" w:cs="Arial"/>
          <w:i/>
          <w:iCs/>
          <w:sz w:val="20"/>
          <w:szCs w:val="20"/>
        </w:rPr>
        <w:t xml:space="preserve">As we have seen throughout the three lockdown periods, shoppers are turning to their local convenience stores and, in some cases, avoiding larger, busier stores. This has resulted in higher visit frequency, greater spend and bigger baskets. </w:t>
      </w:r>
      <w:r w:rsidR="00AB7901">
        <w:rPr>
          <w:rFonts w:ascii="Arial" w:hAnsi="Arial" w:cs="Arial"/>
          <w:i/>
          <w:iCs/>
          <w:sz w:val="20"/>
          <w:szCs w:val="20"/>
        </w:rPr>
        <w:t>There has also been an increase in shoppers looking for meal inspiration. The restrictions placed on hospitality have boosted in-home consumption, so retailers need to think smart about how they can inspire shoppers, with opportunities for meal deals that increase spend and purchases.”</w:t>
      </w:r>
    </w:p>
    <w:p w14:paraId="78D43410" w14:textId="2C599A80" w:rsidR="00DA44AD" w:rsidRDefault="005268A2" w:rsidP="00EA1B39">
      <w:pPr>
        <w:rPr>
          <w:rFonts w:ascii="Arial" w:hAnsi="Arial" w:cs="Arial"/>
          <w:i/>
          <w:iCs/>
          <w:sz w:val="20"/>
          <w:szCs w:val="20"/>
        </w:rPr>
      </w:pPr>
      <w:r>
        <w:rPr>
          <w:rFonts w:ascii="Arial" w:hAnsi="Arial" w:cs="Arial"/>
          <w:i/>
          <w:iCs/>
          <w:sz w:val="20"/>
          <w:szCs w:val="20"/>
        </w:rPr>
        <w:t>“</w:t>
      </w:r>
      <w:r w:rsidR="00DA44AD">
        <w:rPr>
          <w:rFonts w:ascii="Arial" w:hAnsi="Arial" w:cs="Arial"/>
          <w:i/>
          <w:iCs/>
          <w:sz w:val="20"/>
          <w:szCs w:val="20"/>
        </w:rPr>
        <w:t xml:space="preserve">Convenience stores are perfectly placed to cater for local communities during lockdown periods. Retailers must use this </w:t>
      </w:r>
      <w:r>
        <w:rPr>
          <w:rFonts w:ascii="Arial" w:hAnsi="Arial" w:cs="Arial"/>
          <w:i/>
          <w:iCs/>
          <w:sz w:val="20"/>
          <w:szCs w:val="20"/>
        </w:rPr>
        <w:t>as an opportunity to drive loyalty in order to retain customer once restrictions ease.”</w:t>
      </w:r>
    </w:p>
    <w:p w14:paraId="33449AD6" w14:textId="4782A8F8" w:rsidR="00555B2A" w:rsidRPr="007464CC" w:rsidRDefault="007464CC" w:rsidP="007446FD">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4E9B8B25" w:rsidR="00550B08" w:rsidRPr="00550B08" w:rsidRDefault="001A77B5">
      <w:pPr>
        <w:rPr>
          <w:rFonts w:ascii="Arial" w:hAnsi="Arial" w:cs="Arial"/>
          <w:b/>
          <w:bCs/>
          <w:sz w:val="20"/>
          <w:szCs w:val="20"/>
        </w:rPr>
      </w:pPr>
      <w:r>
        <w:rPr>
          <w:rFonts w:ascii="Arial" w:hAnsi="Arial" w:cs="Arial"/>
          <w:b/>
          <w:bCs/>
          <w:sz w:val="20"/>
          <w:szCs w:val="20"/>
        </w:rPr>
        <w:t>Convenience Tracking Programme</w:t>
      </w:r>
    </w:p>
    <w:p w14:paraId="3A05EB12" w14:textId="44E06BED" w:rsidR="00DC7554" w:rsidRPr="00DC7554" w:rsidRDefault="007464CC" w:rsidP="007464CC">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w:t>
      </w:r>
      <w:r w:rsidRPr="007464CC">
        <w:rPr>
          <w:rFonts w:ascii="Arial" w:hAnsi="Arial" w:cs="Arial"/>
          <w:sz w:val="20"/>
          <w:szCs w:val="20"/>
        </w:rPr>
        <w:t xml:space="preserve">market, supporting suppliers and retailers with data, forecasting, retailer </w:t>
      </w:r>
      <w:r w:rsidRPr="007464CC">
        <w:rPr>
          <w:rFonts w:ascii="Arial" w:hAnsi="Arial" w:cs="Arial"/>
          <w:sz w:val="20"/>
          <w:szCs w:val="20"/>
        </w:rPr>
        <w:lastRenderedPageBreak/>
        <w:t>analysis and path to purchase insight.</w:t>
      </w:r>
      <w:r>
        <w:rPr>
          <w:rFonts w:ascii="Arial" w:hAnsi="Arial" w:cs="Arial"/>
          <w:sz w:val="20"/>
          <w:szCs w:val="20"/>
        </w:rPr>
        <w:t xml:space="preserve"> </w:t>
      </w:r>
      <w:r w:rsidR="00DC7554" w:rsidRPr="00DC7554">
        <w:rPr>
          <w:rFonts w:ascii="Arial" w:hAnsi="Arial" w:cs="Arial"/>
          <w:sz w:val="20"/>
          <w:szCs w:val="20"/>
        </w:rPr>
        <w:t>Built from analysis of over 50,000</w:t>
      </w:r>
      <w:r w:rsidR="00DC7554">
        <w:rPr>
          <w:rFonts w:ascii="Arial" w:hAnsi="Arial" w:cs="Arial"/>
          <w:sz w:val="20"/>
          <w:szCs w:val="20"/>
        </w:rPr>
        <w:t xml:space="preserve"> </w:t>
      </w:r>
      <w:r w:rsidR="00DC7554" w:rsidRPr="00DC7554">
        <w:rPr>
          <w:rFonts w:ascii="Arial" w:hAnsi="Arial" w:cs="Arial"/>
          <w:sz w:val="20"/>
          <w:szCs w:val="20"/>
        </w:rPr>
        <w:t>shopping trips per year,</w:t>
      </w:r>
      <w:r w:rsidR="00DC7554">
        <w:rPr>
          <w:rFonts w:ascii="Arial" w:hAnsi="Arial" w:cs="Arial"/>
          <w:sz w:val="20"/>
          <w:szCs w:val="20"/>
        </w:rPr>
        <w:t xml:space="preserve"> </w:t>
      </w:r>
      <w:r w:rsidR="00DC7554" w:rsidRPr="00DC7554">
        <w:rPr>
          <w:rFonts w:ascii="Arial" w:hAnsi="Arial" w:cs="Arial"/>
          <w:sz w:val="20"/>
          <w:szCs w:val="20"/>
        </w:rPr>
        <w:t>C</w:t>
      </w:r>
      <w:r w:rsidR="00DC7554">
        <w:rPr>
          <w:rFonts w:ascii="Arial" w:hAnsi="Arial" w:cs="Arial"/>
          <w:sz w:val="20"/>
          <w:szCs w:val="20"/>
        </w:rPr>
        <w:t xml:space="preserve">TP </w:t>
      </w:r>
      <w:r w:rsidR="00DC7554" w:rsidRPr="00DC7554">
        <w:rPr>
          <w:rFonts w:ascii="Arial" w:hAnsi="Arial" w:cs="Arial"/>
          <w:sz w:val="20"/>
          <w:szCs w:val="20"/>
        </w:rPr>
        <w:t>is the largest convenience shopper</w:t>
      </w:r>
      <w:r w:rsidR="00DC7554">
        <w:rPr>
          <w:rFonts w:ascii="Arial" w:hAnsi="Arial" w:cs="Arial"/>
          <w:sz w:val="20"/>
          <w:szCs w:val="20"/>
        </w:rPr>
        <w:t xml:space="preserve"> </w:t>
      </w:r>
      <w:r w:rsidR="00DC7554" w:rsidRPr="00DC7554">
        <w:rPr>
          <w:rFonts w:ascii="Arial" w:hAnsi="Arial" w:cs="Arial"/>
          <w:sz w:val="20"/>
          <w:szCs w:val="20"/>
        </w:rPr>
        <w:t xml:space="preserve">survey in the UK. </w:t>
      </w:r>
    </w:p>
    <w:p w14:paraId="47C03818" w14:textId="52E7ED61" w:rsidR="007446FD" w:rsidRDefault="004603C2">
      <w:pPr>
        <w:rPr>
          <w:rFonts w:ascii="Arial" w:hAnsi="Arial" w:cs="Arial"/>
          <w:sz w:val="20"/>
          <w:szCs w:val="20"/>
        </w:rPr>
      </w:pPr>
      <w:r>
        <w:rPr>
          <w:rFonts w:ascii="Arial" w:hAnsi="Arial" w:cs="Arial"/>
          <w:sz w:val="20"/>
          <w:szCs w:val="20"/>
        </w:rPr>
        <w:t>The methodology for this specific content is:</w:t>
      </w:r>
    </w:p>
    <w:p w14:paraId="2F20FA91" w14:textId="50BF8933" w:rsidR="007464CC" w:rsidRPr="007464CC"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Data collected in the 4 weeks ending 07.02.</w:t>
      </w:r>
    </w:p>
    <w:p w14:paraId="75D44201" w14:textId="35D19002" w:rsidR="007464CC" w:rsidRPr="007464CC"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1,500 nationally representative sample per week</w:t>
      </w:r>
    </w:p>
    <w:p w14:paraId="12DA4805" w14:textId="438E67BB" w:rsidR="006A4C1D"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In depth online interviews</w:t>
      </w:r>
    </w:p>
    <w:p w14:paraId="492E43F4" w14:textId="77777777" w:rsidR="007464CC" w:rsidRPr="007464CC" w:rsidRDefault="007464CC" w:rsidP="007464CC">
      <w:pPr>
        <w:pStyle w:val="ListParagraph"/>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90962"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2CB"/>
    <w:multiLevelType w:val="hybridMultilevel"/>
    <w:tmpl w:val="2F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1A90"/>
    <w:rsid w:val="000438E4"/>
    <w:rsid w:val="00072404"/>
    <w:rsid w:val="000D6D3C"/>
    <w:rsid w:val="000F1972"/>
    <w:rsid w:val="00113451"/>
    <w:rsid w:val="00116246"/>
    <w:rsid w:val="001249C3"/>
    <w:rsid w:val="001939DD"/>
    <w:rsid w:val="001A77B5"/>
    <w:rsid w:val="001C5B98"/>
    <w:rsid w:val="00261F91"/>
    <w:rsid w:val="002A0F0F"/>
    <w:rsid w:val="002F0BB4"/>
    <w:rsid w:val="00363346"/>
    <w:rsid w:val="00376056"/>
    <w:rsid w:val="003C4BB2"/>
    <w:rsid w:val="003E204B"/>
    <w:rsid w:val="00420DAF"/>
    <w:rsid w:val="0044412F"/>
    <w:rsid w:val="004603C2"/>
    <w:rsid w:val="004B3902"/>
    <w:rsid w:val="004C2C36"/>
    <w:rsid w:val="004D23F6"/>
    <w:rsid w:val="004F1FF8"/>
    <w:rsid w:val="005268A2"/>
    <w:rsid w:val="00536193"/>
    <w:rsid w:val="00550B08"/>
    <w:rsid w:val="0055150D"/>
    <w:rsid w:val="00553497"/>
    <w:rsid w:val="00555B2A"/>
    <w:rsid w:val="00566CAE"/>
    <w:rsid w:val="00604B4A"/>
    <w:rsid w:val="0064731C"/>
    <w:rsid w:val="0064772D"/>
    <w:rsid w:val="006610F6"/>
    <w:rsid w:val="00664850"/>
    <w:rsid w:val="006A4C1D"/>
    <w:rsid w:val="006D3E25"/>
    <w:rsid w:val="006E79FF"/>
    <w:rsid w:val="00720ABB"/>
    <w:rsid w:val="007221DF"/>
    <w:rsid w:val="007229E3"/>
    <w:rsid w:val="007446FD"/>
    <w:rsid w:val="007464CC"/>
    <w:rsid w:val="0075133D"/>
    <w:rsid w:val="00755025"/>
    <w:rsid w:val="0076037A"/>
    <w:rsid w:val="007F3C85"/>
    <w:rsid w:val="008249B4"/>
    <w:rsid w:val="008276B8"/>
    <w:rsid w:val="00846DDB"/>
    <w:rsid w:val="00892573"/>
    <w:rsid w:val="008D4655"/>
    <w:rsid w:val="008E317A"/>
    <w:rsid w:val="008E5A63"/>
    <w:rsid w:val="00977CB4"/>
    <w:rsid w:val="009A6775"/>
    <w:rsid w:val="009C084D"/>
    <w:rsid w:val="009C613A"/>
    <w:rsid w:val="009D1543"/>
    <w:rsid w:val="009E1FAD"/>
    <w:rsid w:val="00A00FB6"/>
    <w:rsid w:val="00A140E6"/>
    <w:rsid w:val="00A169F7"/>
    <w:rsid w:val="00A90962"/>
    <w:rsid w:val="00AB7901"/>
    <w:rsid w:val="00AD236E"/>
    <w:rsid w:val="00AE3120"/>
    <w:rsid w:val="00AE62B7"/>
    <w:rsid w:val="00AE6B2F"/>
    <w:rsid w:val="00B06B5C"/>
    <w:rsid w:val="00B414CE"/>
    <w:rsid w:val="00B46E6F"/>
    <w:rsid w:val="00BA5816"/>
    <w:rsid w:val="00BB4747"/>
    <w:rsid w:val="00BD0AD1"/>
    <w:rsid w:val="00BE4A37"/>
    <w:rsid w:val="00C16ADB"/>
    <w:rsid w:val="00C270FD"/>
    <w:rsid w:val="00C545F0"/>
    <w:rsid w:val="00C77C17"/>
    <w:rsid w:val="00C86028"/>
    <w:rsid w:val="00C96714"/>
    <w:rsid w:val="00CA4A0A"/>
    <w:rsid w:val="00CB611A"/>
    <w:rsid w:val="00CE6B8A"/>
    <w:rsid w:val="00D0274E"/>
    <w:rsid w:val="00D25202"/>
    <w:rsid w:val="00D308D1"/>
    <w:rsid w:val="00D31B4F"/>
    <w:rsid w:val="00D563FA"/>
    <w:rsid w:val="00DA44AD"/>
    <w:rsid w:val="00DB15DD"/>
    <w:rsid w:val="00DC7554"/>
    <w:rsid w:val="00DD09DB"/>
    <w:rsid w:val="00E214AC"/>
    <w:rsid w:val="00E56A95"/>
    <w:rsid w:val="00E72427"/>
    <w:rsid w:val="00E976A1"/>
    <w:rsid w:val="00EA1B39"/>
    <w:rsid w:val="00ED2C5E"/>
    <w:rsid w:val="00ED3ABD"/>
    <w:rsid w:val="00F16921"/>
    <w:rsid w:val="00F6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table" w:styleId="TableGrid">
    <w:name w:val="Table Grid"/>
    <w:basedOn w:val="TableNormal"/>
    <w:uiPriority w:val="39"/>
    <w:rsid w:val="00CB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8</cp:revision>
  <dcterms:created xsi:type="dcterms:W3CDTF">2021-03-02T09:03:00Z</dcterms:created>
  <dcterms:modified xsi:type="dcterms:W3CDTF">2021-03-02T11:37:00Z</dcterms:modified>
</cp:coreProperties>
</file>