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D30793"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93D7E7A" w:rsidR="00ED3ABD" w:rsidRPr="00550B08" w:rsidRDefault="00AB339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07 April</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5686EAC6" w:rsidR="0055150D" w:rsidRPr="00DB2AFC" w:rsidRDefault="002A1E6A" w:rsidP="00DB2AFC">
      <w:pPr>
        <w:jc w:val="center"/>
        <w:rPr>
          <w:rFonts w:ascii="Arial" w:hAnsi="Arial" w:cs="Arial"/>
          <w:b/>
          <w:bCs/>
          <w:sz w:val="32"/>
          <w:szCs w:val="32"/>
        </w:rPr>
      </w:pPr>
      <w:r>
        <w:rPr>
          <w:rFonts w:ascii="Arial" w:hAnsi="Arial" w:cs="Arial"/>
          <w:b/>
          <w:bCs/>
          <w:sz w:val="32"/>
          <w:szCs w:val="32"/>
        </w:rPr>
        <w:t xml:space="preserve">UK food to go market to </w:t>
      </w:r>
      <w:r w:rsidR="00D36AF3">
        <w:rPr>
          <w:rFonts w:ascii="Arial" w:hAnsi="Arial" w:cs="Arial"/>
          <w:b/>
          <w:bCs/>
          <w:sz w:val="32"/>
          <w:szCs w:val="32"/>
        </w:rPr>
        <w:t xml:space="preserve">grow +32% in 2021 </w:t>
      </w:r>
      <w:r w:rsidR="00B94AC2">
        <w:rPr>
          <w:rFonts w:ascii="Arial" w:hAnsi="Arial" w:cs="Arial"/>
          <w:b/>
          <w:bCs/>
          <w:sz w:val="32"/>
          <w:szCs w:val="32"/>
        </w:rPr>
        <w:t xml:space="preserve">to £15.3bn, </w:t>
      </w:r>
      <w:r w:rsidR="00D36AF3">
        <w:rPr>
          <w:rFonts w:ascii="Arial" w:hAnsi="Arial" w:cs="Arial"/>
          <w:b/>
          <w:bCs/>
          <w:sz w:val="32"/>
          <w:szCs w:val="32"/>
        </w:rPr>
        <w:t>72% of its 2019 market value</w:t>
      </w:r>
    </w:p>
    <w:p w14:paraId="2E3B40B9" w14:textId="10E990FD" w:rsidR="00217EE3"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new Lumina Intelligence UK Food </w:t>
      </w:r>
      <w:proofErr w:type="gramStart"/>
      <w:r w:rsidR="00DB2AFC">
        <w:rPr>
          <w:rFonts w:ascii="Arial" w:hAnsi="Arial" w:cs="Arial"/>
          <w:sz w:val="20"/>
          <w:szCs w:val="20"/>
        </w:rPr>
        <w:t>To</w:t>
      </w:r>
      <w:proofErr w:type="gramEnd"/>
      <w:r w:rsidR="00DB2AFC">
        <w:rPr>
          <w:rFonts w:ascii="Arial" w:hAnsi="Arial" w:cs="Arial"/>
          <w:sz w:val="20"/>
          <w:szCs w:val="20"/>
        </w:rPr>
        <w:t xml:space="preserve"> Go Market Report 202</w:t>
      </w:r>
      <w:r w:rsidR="00D36AF3">
        <w:rPr>
          <w:rFonts w:ascii="Arial" w:hAnsi="Arial" w:cs="Arial"/>
          <w:sz w:val="20"/>
          <w:szCs w:val="20"/>
        </w:rPr>
        <w:t xml:space="preserve">1, the UK food to go market suffered a -45.5% decline in 2020, as the coronavirus pandemic severely restricted travel and movement. </w:t>
      </w:r>
    </w:p>
    <w:p w14:paraId="7E216C28" w14:textId="6B6BF254" w:rsidR="00217EE3" w:rsidRDefault="00217EE3" w:rsidP="008E5A63">
      <w:pPr>
        <w:rPr>
          <w:rFonts w:ascii="Arial" w:hAnsi="Arial" w:cs="Arial"/>
          <w:sz w:val="20"/>
          <w:szCs w:val="20"/>
        </w:rPr>
      </w:pPr>
      <w:r>
        <w:rPr>
          <w:rFonts w:ascii="Arial" w:hAnsi="Arial" w:cs="Arial"/>
          <w:sz w:val="20"/>
          <w:szCs w:val="20"/>
        </w:rPr>
        <w:t>However, with restrictions easing and the vaccination programme moving swiftly, the report forecasts growth of +31.6% to £15.3bn in 2021</w:t>
      </w:r>
      <w:r w:rsidR="00BA596C">
        <w:rPr>
          <w:rFonts w:ascii="Arial" w:hAnsi="Arial" w:cs="Arial"/>
          <w:sz w:val="20"/>
          <w:szCs w:val="20"/>
        </w:rPr>
        <w:t xml:space="preserve">, representing </w:t>
      </w:r>
      <w:r>
        <w:rPr>
          <w:rFonts w:ascii="Arial" w:hAnsi="Arial" w:cs="Arial"/>
          <w:sz w:val="20"/>
          <w:szCs w:val="20"/>
        </w:rPr>
        <w:t xml:space="preserve">72% of its 2019 value, </w:t>
      </w:r>
      <w:r w:rsidRPr="00217EE3">
        <w:rPr>
          <w:rFonts w:ascii="Arial" w:hAnsi="Arial" w:cs="Arial"/>
          <w:sz w:val="20"/>
          <w:szCs w:val="20"/>
        </w:rPr>
        <w:t>before wider recovery and growth will see the channel reaching a value of £22.6</w:t>
      </w:r>
      <w:r w:rsidR="00FB7D7E">
        <w:rPr>
          <w:rFonts w:ascii="Arial" w:hAnsi="Arial" w:cs="Arial"/>
          <w:sz w:val="20"/>
          <w:szCs w:val="20"/>
        </w:rPr>
        <w:t xml:space="preserve">bn </w:t>
      </w:r>
      <w:r w:rsidRPr="00217EE3">
        <w:rPr>
          <w:rFonts w:ascii="Arial" w:hAnsi="Arial" w:cs="Arial"/>
          <w:sz w:val="20"/>
          <w:szCs w:val="20"/>
        </w:rPr>
        <w:t xml:space="preserve">in 2024.  </w:t>
      </w:r>
    </w:p>
    <w:p w14:paraId="20206D19" w14:textId="55D85363" w:rsidR="00EC455C" w:rsidRDefault="00471332" w:rsidP="00471332">
      <w:pPr>
        <w:rPr>
          <w:rFonts w:ascii="Arial" w:hAnsi="Arial" w:cs="Arial"/>
          <w:sz w:val="20"/>
          <w:szCs w:val="20"/>
        </w:rPr>
      </w:pPr>
      <w:r w:rsidRPr="00471332">
        <w:rPr>
          <w:rFonts w:ascii="Arial" w:hAnsi="Arial" w:cs="Arial"/>
          <w:sz w:val="20"/>
          <w:szCs w:val="20"/>
        </w:rPr>
        <w:t>Less restriction exposed and</w:t>
      </w:r>
      <w:r>
        <w:rPr>
          <w:rFonts w:ascii="Arial" w:hAnsi="Arial" w:cs="Arial"/>
          <w:sz w:val="20"/>
          <w:szCs w:val="20"/>
        </w:rPr>
        <w:t xml:space="preserve"> </w:t>
      </w:r>
      <w:r w:rsidRPr="00471332">
        <w:rPr>
          <w:rFonts w:ascii="Arial" w:hAnsi="Arial" w:cs="Arial"/>
          <w:sz w:val="20"/>
          <w:szCs w:val="20"/>
        </w:rPr>
        <w:t>low-ticket channels are best placed</w:t>
      </w:r>
      <w:r>
        <w:rPr>
          <w:rFonts w:ascii="Arial" w:hAnsi="Arial" w:cs="Arial"/>
          <w:sz w:val="20"/>
          <w:szCs w:val="20"/>
        </w:rPr>
        <w:t xml:space="preserve"> </w:t>
      </w:r>
      <w:r w:rsidRPr="00471332">
        <w:rPr>
          <w:rFonts w:ascii="Arial" w:hAnsi="Arial" w:cs="Arial"/>
          <w:sz w:val="20"/>
          <w:szCs w:val="20"/>
        </w:rPr>
        <w:t>for recovery with convenience store</w:t>
      </w:r>
      <w:r>
        <w:rPr>
          <w:rFonts w:ascii="Arial" w:hAnsi="Arial" w:cs="Arial"/>
          <w:sz w:val="20"/>
          <w:szCs w:val="20"/>
        </w:rPr>
        <w:t xml:space="preserve"> </w:t>
      </w:r>
      <w:r w:rsidRPr="00471332">
        <w:rPr>
          <w:rFonts w:ascii="Arial" w:hAnsi="Arial" w:cs="Arial"/>
          <w:sz w:val="20"/>
          <w:szCs w:val="20"/>
        </w:rPr>
        <w:t xml:space="preserve">grab and go, </w:t>
      </w:r>
      <w:r>
        <w:rPr>
          <w:rFonts w:ascii="Arial" w:hAnsi="Arial" w:cs="Arial"/>
          <w:sz w:val="20"/>
          <w:szCs w:val="20"/>
        </w:rPr>
        <w:t xml:space="preserve">supermarket grab and go, </w:t>
      </w:r>
      <w:r w:rsidRPr="00471332">
        <w:rPr>
          <w:rFonts w:ascii="Arial" w:hAnsi="Arial" w:cs="Arial"/>
          <w:sz w:val="20"/>
          <w:szCs w:val="20"/>
        </w:rPr>
        <w:t>sandwich &amp; bakery and</w:t>
      </w:r>
      <w:r>
        <w:rPr>
          <w:rFonts w:ascii="Arial" w:hAnsi="Arial" w:cs="Arial"/>
          <w:sz w:val="20"/>
          <w:szCs w:val="20"/>
        </w:rPr>
        <w:t xml:space="preserve"> </w:t>
      </w:r>
      <w:r w:rsidRPr="00471332">
        <w:rPr>
          <w:rFonts w:ascii="Arial" w:hAnsi="Arial" w:cs="Arial"/>
          <w:sz w:val="20"/>
          <w:szCs w:val="20"/>
        </w:rPr>
        <w:t xml:space="preserve">travel </w:t>
      </w:r>
      <w:r w:rsidR="00BA596C">
        <w:rPr>
          <w:rFonts w:ascii="Arial" w:hAnsi="Arial" w:cs="Arial"/>
          <w:sz w:val="20"/>
          <w:szCs w:val="20"/>
        </w:rPr>
        <w:t>all expected</w:t>
      </w:r>
      <w:r w:rsidR="00BA596C" w:rsidRPr="00471332">
        <w:rPr>
          <w:rFonts w:ascii="Arial" w:hAnsi="Arial" w:cs="Arial"/>
          <w:sz w:val="20"/>
          <w:szCs w:val="20"/>
        </w:rPr>
        <w:t xml:space="preserve"> </w:t>
      </w:r>
      <w:r w:rsidRPr="00471332">
        <w:rPr>
          <w:rFonts w:ascii="Arial" w:hAnsi="Arial" w:cs="Arial"/>
          <w:sz w:val="20"/>
          <w:szCs w:val="20"/>
        </w:rPr>
        <w:t xml:space="preserve">to recover </w:t>
      </w:r>
      <w:r>
        <w:rPr>
          <w:rFonts w:ascii="Arial" w:hAnsi="Arial" w:cs="Arial"/>
          <w:sz w:val="20"/>
          <w:szCs w:val="20"/>
        </w:rPr>
        <w:t>more swiftly</w:t>
      </w:r>
      <w:r w:rsidR="00BA596C">
        <w:rPr>
          <w:rFonts w:ascii="Arial" w:hAnsi="Arial" w:cs="Arial"/>
          <w:sz w:val="20"/>
          <w:szCs w:val="20"/>
        </w:rPr>
        <w:t>,</w:t>
      </w:r>
      <w:r>
        <w:rPr>
          <w:rFonts w:ascii="Arial" w:hAnsi="Arial" w:cs="Arial"/>
          <w:sz w:val="20"/>
          <w:szCs w:val="20"/>
        </w:rPr>
        <w:t xml:space="preserve"> </w:t>
      </w:r>
      <w:r w:rsidRPr="00471332">
        <w:rPr>
          <w:rFonts w:ascii="Arial" w:hAnsi="Arial" w:cs="Arial"/>
          <w:sz w:val="20"/>
          <w:szCs w:val="20"/>
        </w:rPr>
        <w:t>to over 74% of</w:t>
      </w:r>
      <w:r>
        <w:rPr>
          <w:rFonts w:ascii="Arial" w:hAnsi="Arial" w:cs="Arial"/>
          <w:sz w:val="20"/>
          <w:szCs w:val="20"/>
        </w:rPr>
        <w:t xml:space="preserve"> </w:t>
      </w:r>
      <w:r w:rsidR="00BA596C">
        <w:rPr>
          <w:rFonts w:ascii="Arial" w:hAnsi="Arial" w:cs="Arial"/>
          <w:sz w:val="20"/>
          <w:szCs w:val="20"/>
        </w:rPr>
        <w:t xml:space="preserve">their </w:t>
      </w:r>
      <w:r w:rsidRPr="00471332">
        <w:rPr>
          <w:rFonts w:ascii="Arial" w:hAnsi="Arial" w:cs="Arial"/>
          <w:sz w:val="20"/>
          <w:szCs w:val="20"/>
        </w:rPr>
        <w:t>pre-pandemic value in 2021.</w:t>
      </w:r>
    </w:p>
    <w:p w14:paraId="05DE826A" w14:textId="6703E3EA" w:rsidR="00FB7D7E" w:rsidRDefault="00FB7D7E" w:rsidP="008E5A63">
      <w:pPr>
        <w:rPr>
          <w:rFonts w:ascii="Arial" w:hAnsi="Arial" w:cs="Arial"/>
          <w:sz w:val="20"/>
          <w:szCs w:val="20"/>
        </w:rPr>
      </w:pPr>
      <w:r>
        <w:rPr>
          <w:rFonts w:ascii="Arial" w:hAnsi="Arial" w:cs="Arial"/>
          <w:sz w:val="20"/>
          <w:szCs w:val="20"/>
        </w:rPr>
        <w:t xml:space="preserve">The report identifies </w:t>
      </w:r>
      <w:r w:rsidR="00BA596C">
        <w:rPr>
          <w:rFonts w:ascii="Arial" w:hAnsi="Arial" w:cs="Arial"/>
          <w:sz w:val="20"/>
          <w:szCs w:val="20"/>
        </w:rPr>
        <w:t xml:space="preserve">that some of the </w:t>
      </w:r>
      <w:r w:rsidRPr="00FB7D7E">
        <w:rPr>
          <w:rFonts w:ascii="Arial" w:hAnsi="Arial" w:cs="Arial"/>
          <w:sz w:val="20"/>
          <w:szCs w:val="20"/>
        </w:rPr>
        <w:t>shorter</w:t>
      </w:r>
      <w:r w:rsidR="006B7F83">
        <w:rPr>
          <w:rFonts w:ascii="Arial" w:hAnsi="Arial" w:cs="Arial"/>
          <w:sz w:val="20"/>
          <w:szCs w:val="20"/>
        </w:rPr>
        <w:t>-</w:t>
      </w:r>
      <w:r w:rsidRPr="00FB7D7E">
        <w:rPr>
          <w:rFonts w:ascii="Arial" w:hAnsi="Arial" w:cs="Arial"/>
          <w:sz w:val="20"/>
          <w:szCs w:val="20"/>
        </w:rPr>
        <w:t>term challenges for the sector will evolve into longer term opportunities, spearheaded by shifts in the way that consumers interact with food to go</w:t>
      </w:r>
      <w:r w:rsidR="00EC455C">
        <w:rPr>
          <w:rFonts w:ascii="Arial" w:hAnsi="Arial" w:cs="Arial"/>
          <w:sz w:val="20"/>
          <w:szCs w:val="20"/>
        </w:rPr>
        <w:t>:</w:t>
      </w:r>
    </w:p>
    <w:p w14:paraId="18E87DAC" w14:textId="77777777" w:rsidR="00FB7D7E" w:rsidRPr="00EC455C" w:rsidRDefault="00FB7D7E" w:rsidP="00FB7D7E">
      <w:pPr>
        <w:rPr>
          <w:rFonts w:ascii="Arial" w:hAnsi="Arial" w:cs="Arial"/>
          <w:b/>
          <w:bCs/>
          <w:sz w:val="20"/>
          <w:szCs w:val="20"/>
        </w:rPr>
      </w:pPr>
      <w:r w:rsidRPr="00EC455C">
        <w:rPr>
          <w:rFonts w:ascii="Arial" w:hAnsi="Arial" w:cs="Arial"/>
          <w:b/>
          <w:bCs/>
          <w:sz w:val="20"/>
          <w:szCs w:val="20"/>
        </w:rPr>
        <w:t xml:space="preserve">Outdoor socialising </w:t>
      </w:r>
    </w:p>
    <w:p w14:paraId="5609F05A" w14:textId="77777777" w:rsidR="00FB7D7E" w:rsidRPr="00EC455C" w:rsidRDefault="00FB7D7E" w:rsidP="00FB7D7E">
      <w:pPr>
        <w:rPr>
          <w:rFonts w:ascii="Arial" w:hAnsi="Arial" w:cs="Arial"/>
          <w:sz w:val="20"/>
          <w:szCs w:val="20"/>
        </w:rPr>
      </w:pPr>
      <w:r w:rsidRPr="00EC455C">
        <w:rPr>
          <w:rFonts w:ascii="Arial" w:hAnsi="Arial" w:cs="Arial"/>
          <w:sz w:val="20"/>
          <w:szCs w:val="20"/>
        </w:rPr>
        <w:t xml:space="preserve">In the next few months as social restrictions ease, food to go is well placed to capitalise on the outdoor socialising occasion. 21% of consumers say they are likely to purchase food to-go and eat it in a park in the future and this figure rises to 38% for 18-24’s. </w:t>
      </w:r>
    </w:p>
    <w:p w14:paraId="2A29FAF0" w14:textId="1B4B77E1" w:rsidR="00FB7D7E" w:rsidRPr="00EC455C" w:rsidRDefault="00FB7D7E" w:rsidP="00FB7D7E">
      <w:pPr>
        <w:rPr>
          <w:rFonts w:ascii="Arial" w:hAnsi="Arial" w:cs="Arial"/>
          <w:sz w:val="20"/>
          <w:szCs w:val="20"/>
        </w:rPr>
      </w:pPr>
      <w:r w:rsidRPr="00EC455C">
        <w:rPr>
          <w:rFonts w:ascii="Arial" w:hAnsi="Arial" w:cs="Arial"/>
          <w:sz w:val="20"/>
          <w:szCs w:val="20"/>
        </w:rPr>
        <w:t>Operators including Pizza Pilgrim’s, German Doner Kebab and Megan’s Restaurants have already beg</w:t>
      </w:r>
      <w:r w:rsidR="00BA596C">
        <w:rPr>
          <w:rFonts w:ascii="Arial" w:hAnsi="Arial" w:cs="Arial"/>
          <w:sz w:val="20"/>
          <w:szCs w:val="20"/>
        </w:rPr>
        <w:t>u</w:t>
      </w:r>
      <w:r w:rsidRPr="00EC455C">
        <w:rPr>
          <w:rFonts w:ascii="Arial" w:hAnsi="Arial" w:cs="Arial"/>
          <w:sz w:val="20"/>
          <w:szCs w:val="20"/>
        </w:rPr>
        <w:t>n to develop propositions that offer portable and high-quality picnic-style meal solutions.</w:t>
      </w:r>
    </w:p>
    <w:p w14:paraId="537C2486" w14:textId="461BEB82" w:rsidR="00FB7D7E" w:rsidRPr="00EC455C" w:rsidRDefault="00FB7D7E" w:rsidP="00FB7D7E">
      <w:pPr>
        <w:rPr>
          <w:rFonts w:ascii="Arial" w:hAnsi="Arial" w:cs="Arial"/>
          <w:b/>
          <w:bCs/>
          <w:sz w:val="20"/>
          <w:szCs w:val="20"/>
        </w:rPr>
      </w:pPr>
      <w:r w:rsidRPr="00EC455C">
        <w:rPr>
          <w:rFonts w:ascii="Arial" w:hAnsi="Arial" w:cs="Arial"/>
          <w:b/>
          <w:bCs/>
          <w:sz w:val="20"/>
          <w:szCs w:val="20"/>
        </w:rPr>
        <w:t>Hybrid working patterns</w:t>
      </w:r>
    </w:p>
    <w:p w14:paraId="3826BBA2" w14:textId="69FBC9B7" w:rsidR="00FB7D7E" w:rsidRDefault="00FB7D7E" w:rsidP="00FB7D7E">
      <w:pPr>
        <w:rPr>
          <w:rFonts w:ascii="Arial" w:hAnsi="Arial" w:cs="Arial"/>
          <w:sz w:val="20"/>
          <w:szCs w:val="20"/>
        </w:rPr>
      </w:pPr>
      <w:r w:rsidRPr="00EC455C">
        <w:rPr>
          <w:rFonts w:ascii="Arial" w:hAnsi="Arial" w:cs="Arial"/>
          <w:sz w:val="20"/>
          <w:szCs w:val="20"/>
        </w:rPr>
        <w:t>34% of consumers are planning to work from home in the future</w:t>
      </w:r>
      <w:r w:rsidR="00BA596C">
        <w:rPr>
          <w:rFonts w:ascii="Arial" w:hAnsi="Arial" w:cs="Arial"/>
          <w:sz w:val="20"/>
          <w:szCs w:val="20"/>
        </w:rPr>
        <w:t>,</w:t>
      </w:r>
      <w:r w:rsidRPr="00EC455C">
        <w:rPr>
          <w:rFonts w:ascii="Arial" w:hAnsi="Arial" w:cs="Arial"/>
          <w:sz w:val="20"/>
          <w:szCs w:val="20"/>
        </w:rPr>
        <w:t xml:space="preserve"> with over half of this proportion bullish in their preference for a high proportion of their workdays </w:t>
      </w:r>
      <w:r w:rsidR="00BA596C">
        <w:rPr>
          <w:rFonts w:ascii="Arial" w:hAnsi="Arial" w:cs="Arial"/>
          <w:sz w:val="20"/>
          <w:szCs w:val="20"/>
        </w:rPr>
        <w:t xml:space="preserve">to be spent </w:t>
      </w:r>
      <w:r w:rsidRPr="00EC455C">
        <w:rPr>
          <w:rFonts w:ascii="Arial" w:hAnsi="Arial" w:cs="Arial"/>
          <w:sz w:val="20"/>
          <w:szCs w:val="20"/>
        </w:rPr>
        <w:t>at home.</w:t>
      </w:r>
    </w:p>
    <w:p w14:paraId="54A080AC" w14:textId="4E06311B" w:rsidR="00EC455C" w:rsidRDefault="00EC455C" w:rsidP="00FB7D7E">
      <w:pPr>
        <w:rPr>
          <w:rFonts w:ascii="Arial" w:hAnsi="Arial" w:cs="Arial"/>
          <w:sz w:val="20"/>
          <w:szCs w:val="20"/>
        </w:rPr>
      </w:pPr>
      <w:r w:rsidRPr="00EC455C">
        <w:rPr>
          <w:rFonts w:ascii="Arial" w:hAnsi="Arial" w:cs="Arial"/>
          <w:sz w:val="20"/>
          <w:szCs w:val="20"/>
        </w:rPr>
        <w:t xml:space="preserve">Food to ‘go home’ is a particular focus, with operators including Costa, </w:t>
      </w:r>
      <w:proofErr w:type="spellStart"/>
      <w:r w:rsidRPr="00EC455C">
        <w:rPr>
          <w:rFonts w:ascii="Arial" w:hAnsi="Arial" w:cs="Arial"/>
          <w:sz w:val="20"/>
          <w:szCs w:val="20"/>
        </w:rPr>
        <w:t>Pret</w:t>
      </w:r>
      <w:proofErr w:type="spellEnd"/>
      <w:r w:rsidRPr="00EC455C">
        <w:rPr>
          <w:rFonts w:ascii="Arial" w:hAnsi="Arial" w:cs="Arial"/>
          <w:sz w:val="20"/>
          <w:szCs w:val="20"/>
        </w:rPr>
        <w:t xml:space="preserve"> A Manger and Marks &amp; Spencer already targeting this occasion with new products featuring clear heat</w:t>
      </w:r>
      <w:r w:rsidR="00BA596C">
        <w:rPr>
          <w:rFonts w:ascii="Arial" w:hAnsi="Arial" w:cs="Arial"/>
          <w:sz w:val="20"/>
          <w:szCs w:val="20"/>
        </w:rPr>
        <w:t>-</w:t>
      </w:r>
      <w:r w:rsidRPr="00EC455C">
        <w:rPr>
          <w:rFonts w:ascii="Arial" w:hAnsi="Arial" w:cs="Arial"/>
          <w:sz w:val="20"/>
          <w:szCs w:val="20"/>
        </w:rPr>
        <w:t>at</w:t>
      </w:r>
      <w:r w:rsidR="00BA596C">
        <w:rPr>
          <w:rFonts w:ascii="Arial" w:hAnsi="Arial" w:cs="Arial"/>
          <w:sz w:val="20"/>
          <w:szCs w:val="20"/>
        </w:rPr>
        <w:t>-</w:t>
      </w:r>
      <w:r w:rsidRPr="00EC455C">
        <w:rPr>
          <w:rFonts w:ascii="Arial" w:hAnsi="Arial" w:cs="Arial"/>
          <w:sz w:val="20"/>
          <w:szCs w:val="20"/>
        </w:rPr>
        <w:t>home instructions.</w:t>
      </w:r>
    </w:p>
    <w:p w14:paraId="26F26478" w14:textId="5C704E3B" w:rsidR="00EC455C" w:rsidRPr="00EC455C" w:rsidRDefault="00EC455C" w:rsidP="00FB7D7E">
      <w:pPr>
        <w:rPr>
          <w:rFonts w:ascii="Arial" w:hAnsi="Arial" w:cs="Arial"/>
          <w:b/>
          <w:bCs/>
          <w:sz w:val="20"/>
          <w:szCs w:val="20"/>
        </w:rPr>
      </w:pPr>
      <w:r w:rsidRPr="00EC455C">
        <w:rPr>
          <w:rFonts w:ascii="Arial" w:hAnsi="Arial" w:cs="Arial"/>
          <w:b/>
          <w:bCs/>
          <w:sz w:val="20"/>
          <w:szCs w:val="20"/>
        </w:rPr>
        <w:t>The coffee opportunity</w:t>
      </w:r>
    </w:p>
    <w:p w14:paraId="5B760300" w14:textId="5E96C873" w:rsidR="00EC455C" w:rsidRPr="00EC455C" w:rsidRDefault="00EC455C" w:rsidP="00FB7D7E">
      <w:pPr>
        <w:rPr>
          <w:rFonts w:ascii="Arial" w:hAnsi="Arial" w:cs="Arial"/>
          <w:sz w:val="20"/>
          <w:szCs w:val="20"/>
        </w:rPr>
      </w:pPr>
      <w:r w:rsidRPr="00EC455C">
        <w:rPr>
          <w:rFonts w:ascii="Arial" w:hAnsi="Arial" w:cs="Arial"/>
          <w:sz w:val="20"/>
          <w:szCs w:val="20"/>
        </w:rPr>
        <w:t xml:space="preserve">Coffee has dominated food to go drinks occasions </w:t>
      </w:r>
      <w:r w:rsidR="00BA596C">
        <w:rPr>
          <w:rFonts w:ascii="Arial" w:hAnsi="Arial" w:cs="Arial"/>
          <w:sz w:val="20"/>
          <w:szCs w:val="20"/>
        </w:rPr>
        <w:t>lately</w:t>
      </w:r>
      <w:r w:rsidRPr="00EC455C">
        <w:rPr>
          <w:rFonts w:ascii="Arial" w:hAnsi="Arial" w:cs="Arial"/>
          <w:sz w:val="20"/>
          <w:szCs w:val="20"/>
        </w:rPr>
        <w:t>, enjoying a 50% share of total drinks consumed over the last 4 months.  Reflecting the increase in socialising in outdoor spaces, younger consumers are the most active on coffee walks, with almost 1 in 4 having picked up the habit of purchasing a hot drink to go when on a walk with a friend since March 2020</w:t>
      </w:r>
      <w:r w:rsidR="00BA596C">
        <w:rPr>
          <w:rFonts w:ascii="Arial" w:hAnsi="Arial" w:cs="Arial"/>
          <w:sz w:val="20"/>
          <w:szCs w:val="20"/>
        </w:rPr>
        <w:t>.</w:t>
      </w:r>
    </w:p>
    <w:p w14:paraId="7DFA8243" w14:textId="3DEFBD65" w:rsidR="00471332" w:rsidRDefault="00471332" w:rsidP="00E734FF">
      <w:pPr>
        <w:rPr>
          <w:rFonts w:ascii="Arial" w:hAnsi="Arial" w:cs="Arial"/>
          <w:sz w:val="20"/>
          <w:szCs w:val="20"/>
        </w:rPr>
      </w:pPr>
      <w:r w:rsidRPr="00471332">
        <w:rPr>
          <w:rFonts w:ascii="Arial" w:hAnsi="Arial" w:cs="Arial"/>
          <w:sz w:val="20"/>
          <w:szCs w:val="20"/>
        </w:rPr>
        <w:t xml:space="preserve">The Top 10 food to go channels can look forward to a £1.1 billion sales </w:t>
      </w:r>
      <w:r w:rsidR="00BA596C">
        <w:rPr>
          <w:rFonts w:ascii="Arial" w:hAnsi="Arial" w:cs="Arial"/>
          <w:sz w:val="20"/>
          <w:szCs w:val="20"/>
        </w:rPr>
        <w:t>opportunity</w:t>
      </w:r>
      <w:r w:rsidR="00BA596C" w:rsidRPr="00471332">
        <w:rPr>
          <w:rFonts w:ascii="Arial" w:hAnsi="Arial" w:cs="Arial"/>
          <w:sz w:val="20"/>
          <w:szCs w:val="20"/>
        </w:rPr>
        <w:t xml:space="preserve"> </w:t>
      </w:r>
      <w:r w:rsidRPr="00471332">
        <w:rPr>
          <w:rFonts w:ascii="Arial" w:hAnsi="Arial" w:cs="Arial"/>
          <w:sz w:val="20"/>
          <w:szCs w:val="20"/>
        </w:rPr>
        <w:t>between 2022 and 2024</w:t>
      </w:r>
      <w:r w:rsidR="00BA596C">
        <w:rPr>
          <w:rFonts w:ascii="Arial" w:hAnsi="Arial" w:cs="Arial"/>
          <w:sz w:val="20"/>
          <w:szCs w:val="20"/>
        </w:rPr>
        <w:t>,</w:t>
      </w:r>
      <w:r w:rsidRPr="00471332">
        <w:rPr>
          <w:rFonts w:ascii="Arial" w:hAnsi="Arial" w:cs="Arial"/>
          <w:sz w:val="20"/>
          <w:szCs w:val="20"/>
        </w:rPr>
        <w:t xml:space="preserve"> with sandwich &amp; bakery and coffee shop/café segments poised to lead in absolute terms</w:t>
      </w:r>
      <w:r w:rsidR="00BA596C">
        <w:rPr>
          <w:rFonts w:ascii="Arial" w:hAnsi="Arial" w:cs="Arial"/>
          <w:sz w:val="20"/>
          <w:szCs w:val="20"/>
        </w:rPr>
        <w:t>;</w:t>
      </w:r>
      <w:r w:rsidRPr="00471332">
        <w:rPr>
          <w:rFonts w:ascii="Arial" w:hAnsi="Arial" w:cs="Arial"/>
          <w:sz w:val="20"/>
          <w:szCs w:val="20"/>
        </w:rPr>
        <w:t xml:space="preserve"> underpinned by physical outlet growth, a core </w:t>
      </w:r>
      <w:r w:rsidR="00BA596C">
        <w:rPr>
          <w:rFonts w:ascii="Arial" w:hAnsi="Arial" w:cs="Arial"/>
          <w:sz w:val="20"/>
          <w:szCs w:val="20"/>
        </w:rPr>
        <w:t>focus on takeaway/</w:t>
      </w:r>
      <w:r w:rsidRPr="00471332">
        <w:rPr>
          <w:rFonts w:ascii="Arial" w:hAnsi="Arial" w:cs="Arial"/>
          <w:sz w:val="20"/>
          <w:szCs w:val="20"/>
        </w:rPr>
        <w:t>to-go and continued consumer aligned new product development.</w:t>
      </w:r>
    </w:p>
    <w:p w14:paraId="437922C8" w14:textId="77777777" w:rsidR="00471332" w:rsidRDefault="00471332" w:rsidP="00E734FF">
      <w:pPr>
        <w:rPr>
          <w:rFonts w:ascii="Arial" w:hAnsi="Arial" w:cs="Arial"/>
          <w:sz w:val="20"/>
          <w:szCs w:val="20"/>
        </w:rPr>
      </w:pPr>
      <w:r w:rsidRPr="00471332">
        <w:rPr>
          <w:rFonts w:ascii="Arial" w:hAnsi="Arial" w:cs="Arial"/>
          <w:sz w:val="20"/>
          <w:szCs w:val="20"/>
        </w:rPr>
        <w:t>Convenience store grab &amp; go remains</w:t>
      </w:r>
      <w:r>
        <w:rPr>
          <w:rFonts w:ascii="Arial" w:hAnsi="Arial" w:cs="Arial"/>
          <w:sz w:val="20"/>
          <w:szCs w:val="20"/>
        </w:rPr>
        <w:t xml:space="preserve"> </w:t>
      </w:r>
      <w:r w:rsidRPr="00471332">
        <w:rPr>
          <w:rFonts w:ascii="Arial" w:hAnsi="Arial" w:cs="Arial"/>
          <w:sz w:val="20"/>
          <w:szCs w:val="20"/>
        </w:rPr>
        <w:t>the largest</w:t>
      </w:r>
      <w:r>
        <w:rPr>
          <w:rFonts w:ascii="Arial" w:hAnsi="Arial" w:cs="Arial"/>
          <w:sz w:val="20"/>
          <w:szCs w:val="20"/>
        </w:rPr>
        <w:t xml:space="preserve"> food to go</w:t>
      </w:r>
      <w:r w:rsidRPr="00471332">
        <w:rPr>
          <w:rFonts w:ascii="Arial" w:hAnsi="Arial" w:cs="Arial"/>
          <w:sz w:val="20"/>
          <w:szCs w:val="20"/>
        </w:rPr>
        <w:t xml:space="preserve"> sub-channel but it's</w:t>
      </w:r>
      <w:r>
        <w:rPr>
          <w:rFonts w:ascii="Arial" w:hAnsi="Arial" w:cs="Arial"/>
          <w:sz w:val="20"/>
          <w:szCs w:val="20"/>
        </w:rPr>
        <w:t xml:space="preserve"> </w:t>
      </w:r>
      <w:r w:rsidRPr="00471332">
        <w:rPr>
          <w:rFonts w:ascii="Arial" w:hAnsi="Arial" w:cs="Arial"/>
          <w:sz w:val="20"/>
          <w:szCs w:val="20"/>
        </w:rPr>
        <w:t>contribution to growth will fall as it</w:t>
      </w:r>
      <w:r>
        <w:rPr>
          <w:rFonts w:ascii="Arial" w:hAnsi="Arial" w:cs="Arial"/>
          <w:sz w:val="20"/>
          <w:szCs w:val="20"/>
        </w:rPr>
        <w:t xml:space="preserve"> </w:t>
      </w:r>
      <w:r w:rsidRPr="00471332">
        <w:rPr>
          <w:rFonts w:ascii="Arial" w:hAnsi="Arial" w:cs="Arial"/>
          <w:sz w:val="20"/>
          <w:szCs w:val="20"/>
        </w:rPr>
        <w:t>comes under increased pressure to</w:t>
      </w:r>
      <w:r>
        <w:rPr>
          <w:rFonts w:ascii="Arial" w:hAnsi="Arial" w:cs="Arial"/>
          <w:sz w:val="20"/>
          <w:szCs w:val="20"/>
        </w:rPr>
        <w:t xml:space="preserve"> </w:t>
      </w:r>
      <w:r w:rsidRPr="00471332">
        <w:rPr>
          <w:rFonts w:ascii="Arial" w:hAnsi="Arial" w:cs="Arial"/>
          <w:sz w:val="20"/>
          <w:szCs w:val="20"/>
        </w:rPr>
        <w:t>compete with dedicated food to go</w:t>
      </w:r>
      <w:r>
        <w:rPr>
          <w:rFonts w:ascii="Arial" w:hAnsi="Arial" w:cs="Arial"/>
          <w:sz w:val="20"/>
          <w:szCs w:val="20"/>
        </w:rPr>
        <w:t xml:space="preserve"> </w:t>
      </w:r>
      <w:r w:rsidRPr="00471332">
        <w:rPr>
          <w:rFonts w:ascii="Arial" w:hAnsi="Arial" w:cs="Arial"/>
          <w:sz w:val="20"/>
          <w:szCs w:val="20"/>
        </w:rPr>
        <w:t>specialists</w:t>
      </w:r>
      <w:r>
        <w:rPr>
          <w:rFonts w:ascii="Arial" w:hAnsi="Arial" w:cs="Arial"/>
          <w:sz w:val="20"/>
          <w:szCs w:val="20"/>
        </w:rPr>
        <w:t>.</w:t>
      </w:r>
    </w:p>
    <w:p w14:paraId="33BC60D1" w14:textId="593F9FA5" w:rsidR="00471332" w:rsidRDefault="001C2E4F" w:rsidP="00E734FF">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C589F">
        <w:rPr>
          <w:rFonts w:ascii="Arial" w:hAnsi="Arial" w:cs="Arial"/>
          <w:i/>
          <w:iCs/>
          <w:sz w:val="20"/>
          <w:szCs w:val="20"/>
        </w:rPr>
        <w:t xml:space="preserve">The sudden shift from a highly transient, on-the-go society, to one </w:t>
      </w:r>
      <w:r w:rsidR="006E735F">
        <w:rPr>
          <w:rFonts w:ascii="Arial" w:hAnsi="Arial" w:cs="Arial"/>
          <w:i/>
          <w:iCs/>
          <w:sz w:val="20"/>
          <w:szCs w:val="20"/>
        </w:rPr>
        <w:t>with</w:t>
      </w:r>
      <w:r w:rsidR="001C589F">
        <w:rPr>
          <w:rFonts w:ascii="Arial" w:hAnsi="Arial" w:cs="Arial"/>
          <w:i/>
          <w:iCs/>
          <w:sz w:val="20"/>
          <w:szCs w:val="20"/>
        </w:rPr>
        <w:t xml:space="preserve"> restrictions placed on movement had a </w:t>
      </w:r>
      <w:r w:rsidR="00BA596C">
        <w:rPr>
          <w:rFonts w:ascii="Arial" w:hAnsi="Arial" w:cs="Arial"/>
          <w:i/>
          <w:iCs/>
          <w:sz w:val="20"/>
          <w:szCs w:val="20"/>
        </w:rPr>
        <w:t xml:space="preserve">significant negative </w:t>
      </w:r>
      <w:r w:rsidR="001C589F">
        <w:rPr>
          <w:rFonts w:ascii="Arial" w:hAnsi="Arial" w:cs="Arial"/>
          <w:i/>
          <w:iCs/>
          <w:sz w:val="20"/>
          <w:szCs w:val="20"/>
        </w:rPr>
        <w:t>impact on the UK food to go market</w:t>
      </w:r>
      <w:r w:rsidR="00471332">
        <w:rPr>
          <w:rFonts w:ascii="Arial" w:hAnsi="Arial" w:cs="Arial"/>
          <w:i/>
          <w:iCs/>
          <w:sz w:val="20"/>
          <w:szCs w:val="20"/>
        </w:rPr>
        <w:t xml:space="preserve"> in 2020</w:t>
      </w:r>
      <w:r w:rsidR="006B7F83">
        <w:rPr>
          <w:rFonts w:ascii="Arial" w:hAnsi="Arial" w:cs="Arial"/>
          <w:i/>
          <w:iCs/>
          <w:sz w:val="20"/>
          <w:szCs w:val="20"/>
        </w:rPr>
        <w:t>, with much trade diverted to other routes to market such as delivery</w:t>
      </w:r>
      <w:r w:rsidR="001C589F">
        <w:rPr>
          <w:rFonts w:ascii="Arial" w:hAnsi="Arial" w:cs="Arial"/>
          <w:i/>
          <w:iCs/>
          <w:sz w:val="20"/>
          <w:szCs w:val="20"/>
        </w:rPr>
        <w:t>.</w:t>
      </w:r>
      <w:r w:rsidR="006E735F">
        <w:rPr>
          <w:rFonts w:ascii="Arial" w:hAnsi="Arial" w:cs="Arial"/>
          <w:i/>
          <w:iCs/>
          <w:sz w:val="20"/>
          <w:szCs w:val="20"/>
        </w:rPr>
        <w:t xml:space="preserve"> </w:t>
      </w:r>
      <w:r w:rsidR="00471332">
        <w:rPr>
          <w:rFonts w:ascii="Arial" w:hAnsi="Arial" w:cs="Arial"/>
          <w:i/>
          <w:iCs/>
          <w:sz w:val="20"/>
          <w:szCs w:val="20"/>
        </w:rPr>
        <w:t xml:space="preserve">However, buoyed by the easing of restrictions and the swift vaccine rollout, we will </w:t>
      </w:r>
      <w:r w:rsidR="006B7F83">
        <w:rPr>
          <w:rFonts w:ascii="Arial" w:hAnsi="Arial" w:cs="Arial"/>
          <w:i/>
          <w:iCs/>
          <w:sz w:val="20"/>
          <w:szCs w:val="20"/>
        </w:rPr>
        <w:t xml:space="preserve">see </w:t>
      </w:r>
      <w:r w:rsidR="00471332">
        <w:rPr>
          <w:rFonts w:ascii="Arial" w:hAnsi="Arial" w:cs="Arial"/>
          <w:i/>
          <w:iCs/>
          <w:sz w:val="20"/>
          <w:szCs w:val="20"/>
        </w:rPr>
        <w:t xml:space="preserve">a resurgence </w:t>
      </w:r>
      <w:r w:rsidR="00BA596C">
        <w:rPr>
          <w:rFonts w:ascii="Arial" w:hAnsi="Arial" w:cs="Arial"/>
          <w:i/>
          <w:iCs/>
          <w:sz w:val="20"/>
          <w:szCs w:val="20"/>
        </w:rPr>
        <w:t xml:space="preserve">of </w:t>
      </w:r>
      <w:r w:rsidR="00471332">
        <w:rPr>
          <w:rFonts w:ascii="Arial" w:hAnsi="Arial" w:cs="Arial"/>
          <w:i/>
          <w:iCs/>
          <w:sz w:val="20"/>
          <w:szCs w:val="20"/>
        </w:rPr>
        <w:t xml:space="preserve">the market in 2021, before </w:t>
      </w:r>
      <w:r w:rsidR="00BA596C">
        <w:rPr>
          <w:rFonts w:ascii="Arial" w:hAnsi="Arial" w:cs="Arial"/>
          <w:i/>
          <w:iCs/>
          <w:sz w:val="20"/>
          <w:szCs w:val="20"/>
        </w:rPr>
        <w:t xml:space="preserve">a </w:t>
      </w:r>
      <w:r w:rsidR="00471332">
        <w:rPr>
          <w:rFonts w:ascii="Arial" w:hAnsi="Arial" w:cs="Arial"/>
          <w:i/>
          <w:iCs/>
          <w:sz w:val="20"/>
          <w:szCs w:val="20"/>
        </w:rPr>
        <w:t>full recover</w:t>
      </w:r>
      <w:r w:rsidR="00BA596C">
        <w:rPr>
          <w:rFonts w:ascii="Arial" w:hAnsi="Arial" w:cs="Arial"/>
          <w:i/>
          <w:iCs/>
          <w:sz w:val="20"/>
          <w:szCs w:val="20"/>
        </w:rPr>
        <w:t>y</w:t>
      </w:r>
      <w:r w:rsidR="00471332">
        <w:rPr>
          <w:rFonts w:ascii="Arial" w:hAnsi="Arial" w:cs="Arial"/>
          <w:i/>
          <w:iCs/>
          <w:sz w:val="20"/>
          <w:szCs w:val="20"/>
        </w:rPr>
        <w:t xml:space="preserve"> to pre-pandemic</w:t>
      </w:r>
      <w:r w:rsidR="00BA596C">
        <w:rPr>
          <w:rFonts w:ascii="Arial" w:hAnsi="Arial" w:cs="Arial"/>
          <w:i/>
          <w:iCs/>
          <w:sz w:val="20"/>
          <w:szCs w:val="20"/>
        </w:rPr>
        <w:t xml:space="preserve"> sales</w:t>
      </w:r>
      <w:r w:rsidR="00471332">
        <w:rPr>
          <w:rFonts w:ascii="Arial" w:hAnsi="Arial" w:cs="Arial"/>
          <w:i/>
          <w:iCs/>
          <w:sz w:val="20"/>
          <w:szCs w:val="20"/>
        </w:rPr>
        <w:t xml:space="preserve"> levels by 2024.”</w:t>
      </w:r>
    </w:p>
    <w:p w14:paraId="7BDB0858" w14:textId="15D73881" w:rsidR="00F30CBB" w:rsidRDefault="001C589F" w:rsidP="00E734FF">
      <w:pPr>
        <w:rPr>
          <w:rFonts w:ascii="Arial" w:hAnsi="Arial" w:cs="Arial"/>
          <w:i/>
          <w:iCs/>
          <w:sz w:val="20"/>
          <w:szCs w:val="20"/>
        </w:rPr>
      </w:pPr>
      <w:r>
        <w:rPr>
          <w:rFonts w:ascii="Arial" w:hAnsi="Arial" w:cs="Arial"/>
          <w:i/>
          <w:iCs/>
          <w:sz w:val="20"/>
          <w:szCs w:val="20"/>
        </w:rPr>
        <w:t>“</w:t>
      </w:r>
      <w:r w:rsidR="0064548D">
        <w:rPr>
          <w:rFonts w:ascii="Arial" w:hAnsi="Arial" w:cs="Arial"/>
          <w:i/>
          <w:iCs/>
          <w:sz w:val="20"/>
          <w:szCs w:val="20"/>
        </w:rPr>
        <w:t>Retail-led f</w:t>
      </w:r>
      <w:r w:rsidR="00F30CBB">
        <w:rPr>
          <w:rFonts w:ascii="Arial" w:hAnsi="Arial" w:cs="Arial"/>
          <w:i/>
          <w:iCs/>
          <w:sz w:val="20"/>
          <w:szCs w:val="20"/>
        </w:rPr>
        <w:t>ood to go channels that are less exposed to tight restrictions and offer low-ticket solutions are best placed to recover quicker</w:t>
      </w:r>
      <w:r w:rsidR="0064548D">
        <w:rPr>
          <w:rFonts w:ascii="Arial" w:hAnsi="Arial" w:cs="Arial"/>
          <w:i/>
          <w:iCs/>
          <w:sz w:val="20"/>
          <w:szCs w:val="20"/>
        </w:rPr>
        <w:t xml:space="preserve">. However, operators and retailers will be forced to adapt. The continuation of home </w:t>
      </w:r>
      <w:r w:rsidR="006B7F83">
        <w:rPr>
          <w:rFonts w:ascii="Arial" w:hAnsi="Arial" w:cs="Arial"/>
          <w:i/>
          <w:iCs/>
          <w:sz w:val="20"/>
          <w:szCs w:val="20"/>
        </w:rPr>
        <w:t xml:space="preserve">and hybrid </w:t>
      </w:r>
      <w:r w:rsidR="0064548D">
        <w:rPr>
          <w:rFonts w:ascii="Arial" w:hAnsi="Arial" w:cs="Arial"/>
          <w:i/>
          <w:iCs/>
          <w:sz w:val="20"/>
          <w:szCs w:val="20"/>
        </w:rPr>
        <w:t>work</w:t>
      </w:r>
      <w:r w:rsidR="006B7F83">
        <w:rPr>
          <w:rFonts w:ascii="Arial" w:hAnsi="Arial" w:cs="Arial"/>
          <w:i/>
          <w:iCs/>
          <w:sz w:val="20"/>
          <w:szCs w:val="20"/>
        </w:rPr>
        <w:t xml:space="preserve"> patterns</w:t>
      </w:r>
      <w:r w:rsidR="0064548D">
        <w:rPr>
          <w:rFonts w:ascii="Arial" w:hAnsi="Arial" w:cs="Arial"/>
          <w:i/>
          <w:iCs/>
          <w:sz w:val="20"/>
          <w:szCs w:val="20"/>
        </w:rPr>
        <w:t xml:space="preserve"> for many and the rise in outdoor socialising will result in changes to the ways in which consumers </w:t>
      </w:r>
      <w:r w:rsidR="00BA596C">
        <w:rPr>
          <w:rFonts w:ascii="Arial" w:hAnsi="Arial" w:cs="Arial"/>
          <w:i/>
          <w:iCs/>
          <w:sz w:val="20"/>
          <w:szCs w:val="20"/>
        </w:rPr>
        <w:t xml:space="preserve">will </w:t>
      </w:r>
      <w:r w:rsidR="0064548D">
        <w:rPr>
          <w:rFonts w:ascii="Arial" w:hAnsi="Arial" w:cs="Arial"/>
          <w:i/>
          <w:iCs/>
          <w:sz w:val="20"/>
          <w:szCs w:val="20"/>
        </w:rPr>
        <w:t xml:space="preserve">interact with food to go. Portable food to go solutions will strike appeal with consumers meeting friends/family in parks, whereas a shift </w:t>
      </w:r>
      <w:r w:rsidR="00BA596C">
        <w:rPr>
          <w:rFonts w:ascii="Arial" w:hAnsi="Arial" w:cs="Arial"/>
          <w:i/>
          <w:iCs/>
          <w:sz w:val="20"/>
          <w:szCs w:val="20"/>
        </w:rPr>
        <w:t xml:space="preserve">in </w:t>
      </w:r>
      <w:r w:rsidR="0064548D">
        <w:rPr>
          <w:rFonts w:ascii="Arial" w:hAnsi="Arial" w:cs="Arial"/>
          <w:i/>
          <w:iCs/>
          <w:sz w:val="20"/>
          <w:szCs w:val="20"/>
        </w:rPr>
        <w:t xml:space="preserve">focus on food to </w:t>
      </w:r>
      <w:r w:rsidR="006B7F83">
        <w:rPr>
          <w:rFonts w:ascii="Arial" w:hAnsi="Arial" w:cs="Arial"/>
          <w:i/>
          <w:iCs/>
          <w:sz w:val="20"/>
          <w:szCs w:val="20"/>
        </w:rPr>
        <w:t>‘</w:t>
      </w:r>
      <w:r w:rsidR="0064548D">
        <w:rPr>
          <w:rFonts w:ascii="Arial" w:hAnsi="Arial" w:cs="Arial"/>
          <w:i/>
          <w:iCs/>
          <w:sz w:val="20"/>
          <w:szCs w:val="20"/>
        </w:rPr>
        <w:t xml:space="preserve">go home’, will </w:t>
      </w:r>
      <w:r w:rsidR="00BA596C">
        <w:rPr>
          <w:rFonts w:ascii="Arial" w:hAnsi="Arial" w:cs="Arial"/>
          <w:i/>
          <w:iCs/>
          <w:sz w:val="20"/>
          <w:szCs w:val="20"/>
        </w:rPr>
        <w:t>provide a relevant</w:t>
      </w:r>
      <w:r w:rsidR="0064548D">
        <w:rPr>
          <w:rFonts w:ascii="Arial" w:hAnsi="Arial" w:cs="Arial"/>
          <w:i/>
          <w:iCs/>
          <w:sz w:val="20"/>
          <w:szCs w:val="20"/>
        </w:rPr>
        <w:t xml:space="preserve"> solution to those home working.”</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336377A4" w:rsidR="00A95E5C" w:rsidRDefault="00A95E5C" w:rsidP="00A95E5C">
      <w:pPr>
        <w:rPr>
          <w:rFonts w:ascii="Arial" w:hAnsi="Arial" w:cs="Arial"/>
          <w:sz w:val="20"/>
          <w:szCs w:val="20"/>
        </w:rPr>
      </w:pPr>
      <w:r w:rsidRPr="009F659F">
        <w:rPr>
          <w:rFonts w:ascii="Arial" w:hAnsi="Arial" w:cs="Arial"/>
          <w:sz w:val="20"/>
          <w:szCs w:val="20"/>
        </w:rPr>
        <w:t xml:space="preserve">The data within the Lumina Intelligence UK Food </w:t>
      </w:r>
      <w:proofErr w:type="gramStart"/>
      <w:r w:rsidRPr="009F659F">
        <w:rPr>
          <w:rFonts w:ascii="Arial" w:hAnsi="Arial" w:cs="Arial"/>
          <w:sz w:val="20"/>
          <w:szCs w:val="20"/>
        </w:rPr>
        <w:t>To</w:t>
      </w:r>
      <w:proofErr w:type="gramEnd"/>
      <w:r w:rsidRPr="009F659F">
        <w:rPr>
          <w:rFonts w:ascii="Arial" w:hAnsi="Arial" w:cs="Arial"/>
          <w:sz w:val="20"/>
          <w:szCs w:val="20"/>
        </w:rPr>
        <w:t xml:space="preserve"> Go Market Report 202</w:t>
      </w:r>
      <w:r w:rsidR="0064548D">
        <w:rPr>
          <w:rFonts w:ascii="Arial" w:hAnsi="Arial" w:cs="Arial"/>
          <w:sz w:val="20"/>
          <w:szCs w:val="20"/>
        </w:rPr>
        <w:t>1</w:t>
      </w:r>
      <w:r w:rsidRPr="009F659F">
        <w:rPr>
          <w:rFonts w:ascii="Arial" w:hAnsi="Arial" w:cs="Arial"/>
          <w:sz w:val="20"/>
          <w:szCs w:val="20"/>
        </w:rPr>
        <w:t xml:space="preserve"> was collated using:</w:t>
      </w:r>
    </w:p>
    <w:p w14:paraId="4DF8AAD0" w14:textId="7E08557B"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eating out behaviour across all UK eating and drinking out channels through the</w:t>
      </w:r>
      <w:r>
        <w:rPr>
          <w:rFonts w:ascii="Arial" w:hAnsi="Arial" w:cs="Arial"/>
          <w:sz w:val="20"/>
          <w:szCs w:val="20"/>
        </w:rPr>
        <w:t xml:space="preserve"> </w:t>
      </w:r>
      <w:r w:rsidRPr="001B2875">
        <w:rPr>
          <w:rFonts w:ascii="Arial" w:hAnsi="Arial" w:cs="Arial"/>
          <w:sz w:val="20"/>
          <w:szCs w:val="20"/>
        </w:rPr>
        <w:t>Lumina Intelligence Eating &amp; Drinking Out Panel, based on 78,000 interviews each year</w:t>
      </w:r>
    </w:p>
    <w:p w14:paraId="29382DD4" w14:textId="14FFB584"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attitudes and future intentions based</w:t>
      </w:r>
      <w:r>
        <w:rPr>
          <w:rFonts w:ascii="Arial" w:hAnsi="Arial" w:cs="Arial"/>
          <w:sz w:val="20"/>
          <w:szCs w:val="20"/>
        </w:rPr>
        <w:t xml:space="preserve"> </w:t>
      </w:r>
      <w:r w:rsidRPr="001B2875">
        <w:rPr>
          <w:rFonts w:ascii="Arial" w:hAnsi="Arial" w:cs="Arial"/>
          <w:sz w:val="20"/>
          <w:szCs w:val="20"/>
        </w:rPr>
        <w:t xml:space="preserve">on a bespoke survey (n=1000 </w:t>
      </w:r>
      <w:proofErr w:type="spellStart"/>
      <w:r w:rsidRPr="001B2875">
        <w:rPr>
          <w:rFonts w:ascii="Arial" w:hAnsi="Arial" w:cs="Arial"/>
          <w:sz w:val="20"/>
          <w:szCs w:val="20"/>
        </w:rPr>
        <w:t>nat</w:t>
      </w:r>
      <w:proofErr w:type="spellEnd"/>
      <w:r w:rsidRPr="001B2875">
        <w:rPr>
          <w:rFonts w:ascii="Arial" w:hAnsi="Arial" w:cs="Arial"/>
          <w:sz w:val="20"/>
          <w:szCs w:val="20"/>
        </w:rPr>
        <w:t xml:space="preserve"> rep) </w:t>
      </w:r>
    </w:p>
    <w:p w14:paraId="0250E810" w14:textId="5B599FF7"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 xml:space="preserve">Operator sales and outlet performance from Lumina Intelligence’s Operator Data Index </w:t>
      </w:r>
    </w:p>
    <w:p w14:paraId="464AFB16" w14:textId="11D60994" w:rsidR="00E734FF" w:rsidRPr="001B2875" w:rsidRDefault="001B2875" w:rsidP="001B2875">
      <w:pPr>
        <w:pStyle w:val="ListParagraph"/>
        <w:numPr>
          <w:ilvl w:val="0"/>
          <w:numId w:val="8"/>
        </w:numPr>
        <w:rPr>
          <w:rFonts w:ascii="Arial" w:hAnsi="Arial" w:cs="Arial"/>
          <w:b/>
          <w:bCs/>
          <w:sz w:val="20"/>
          <w:szCs w:val="20"/>
        </w:rPr>
      </w:pPr>
      <w:r w:rsidRPr="001B2875">
        <w:rPr>
          <w:rFonts w:ascii="Arial" w:hAnsi="Arial" w:cs="Arial"/>
          <w:sz w:val="20"/>
          <w:szCs w:val="20"/>
        </w:rPr>
        <w:t>Supported by commentary/soundbites from senior business leaders</w:t>
      </w:r>
      <w:r w:rsidR="00BA596C">
        <w:rPr>
          <w:rFonts w:ascii="Arial" w:hAnsi="Arial" w:cs="Arial"/>
          <w:sz w:val="20"/>
          <w:szCs w:val="20"/>
        </w:rPr>
        <w:t xml:space="preserve"> and journalists</w:t>
      </w:r>
      <w:r w:rsidRPr="001B2875">
        <w:rPr>
          <w:rFonts w:ascii="Arial" w:hAnsi="Arial" w:cs="Arial"/>
          <w:sz w:val="20"/>
          <w:szCs w:val="20"/>
        </w:rPr>
        <w:t xml:space="preserve"> from within the sector</w:t>
      </w:r>
    </w:p>
    <w:p w14:paraId="4CEA97D8" w14:textId="127C5163"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D30793"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F1972"/>
    <w:rsid w:val="00113451"/>
    <w:rsid w:val="00116246"/>
    <w:rsid w:val="001249C3"/>
    <w:rsid w:val="001B2875"/>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C4BB2"/>
    <w:rsid w:val="003E204B"/>
    <w:rsid w:val="003F621E"/>
    <w:rsid w:val="0044412F"/>
    <w:rsid w:val="00471332"/>
    <w:rsid w:val="004B3902"/>
    <w:rsid w:val="004D23F6"/>
    <w:rsid w:val="004E551E"/>
    <w:rsid w:val="004F1FF8"/>
    <w:rsid w:val="004F62D9"/>
    <w:rsid w:val="00511B5A"/>
    <w:rsid w:val="00550B08"/>
    <w:rsid w:val="0055150D"/>
    <w:rsid w:val="00553497"/>
    <w:rsid w:val="00566CAE"/>
    <w:rsid w:val="005B7B3F"/>
    <w:rsid w:val="005C0F44"/>
    <w:rsid w:val="00604B4A"/>
    <w:rsid w:val="0064548D"/>
    <w:rsid w:val="0064772D"/>
    <w:rsid w:val="00664850"/>
    <w:rsid w:val="006B7F83"/>
    <w:rsid w:val="006D1829"/>
    <w:rsid w:val="006E735F"/>
    <w:rsid w:val="006E79FF"/>
    <w:rsid w:val="00720ABB"/>
    <w:rsid w:val="007221DF"/>
    <w:rsid w:val="007229E3"/>
    <w:rsid w:val="007446FD"/>
    <w:rsid w:val="00755025"/>
    <w:rsid w:val="0076037A"/>
    <w:rsid w:val="007B4F7A"/>
    <w:rsid w:val="007F3C85"/>
    <w:rsid w:val="008249B4"/>
    <w:rsid w:val="008276B8"/>
    <w:rsid w:val="00846DDB"/>
    <w:rsid w:val="00862CCB"/>
    <w:rsid w:val="008A46AD"/>
    <w:rsid w:val="008D4655"/>
    <w:rsid w:val="008E317A"/>
    <w:rsid w:val="008E5A63"/>
    <w:rsid w:val="00906A89"/>
    <w:rsid w:val="0094762B"/>
    <w:rsid w:val="009A6775"/>
    <w:rsid w:val="009C613A"/>
    <w:rsid w:val="009D1543"/>
    <w:rsid w:val="00A95E5C"/>
    <w:rsid w:val="00AA3F19"/>
    <w:rsid w:val="00AB3399"/>
    <w:rsid w:val="00AD236E"/>
    <w:rsid w:val="00AE6B2F"/>
    <w:rsid w:val="00B03B5B"/>
    <w:rsid w:val="00B06987"/>
    <w:rsid w:val="00B06B5C"/>
    <w:rsid w:val="00B414CE"/>
    <w:rsid w:val="00B46E6F"/>
    <w:rsid w:val="00B94AC2"/>
    <w:rsid w:val="00BA596C"/>
    <w:rsid w:val="00BB4747"/>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A3FA1"/>
    <w:rsid w:val="00DB2AFC"/>
    <w:rsid w:val="00E214AC"/>
    <w:rsid w:val="00E56A95"/>
    <w:rsid w:val="00E72427"/>
    <w:rsid w:val="00E734FF"/>
    <w:rsid w:val="00EA1B39"/>
    <w:rsid w:val="00EC455C"/>
    <w:rsid w:val="00ED0369"/>
    <w:rsid w:val="00ED2C5E"/>
    <w:rsid w:val="00ED3ABD"/>
    <w:rsid w:val="00EE59D7"/>
    <w:rsid w:val="00F16921"/>
    <w:rsid w:val="00F30CBB"/>
    <w:rsid w:val="00FB7D7E"/>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2021-04-01T09:51:00Z</dcterms:created>
  <dcterms:modified xsi:type="dcterms:W3CDTF">2021-04-01T09:51:00Z</dcterms:modified>
</cp:coreProperties>
</file>