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6">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FD3799" w:rsidP="00ED3ABD">
      <w:pPr>
        <w:spacing w:after="0" w:line="240" w:lineRule="auto"/>
        <w:rPr>
          <w:rStyle w:val="Hyperlink"/>
          <w:rFonts w:ascii="Arial" w:hAnsi="Arial" w:cs="Arial"/>
          <w:color w:val="505050"/>
          <w:sz w:val="18"/>
          <w:szCs w:val="18"/>
        </w:rPr>
      </w:pPr>
      <w:hyperlink r:id="rId7"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1EEB081D" w:rsidR="00ED3ABD" w:rsidRPr="00550B08" w:rsidRDefault="00031072"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w:t>
      </w:r>
      <w:r w:rsidR="00C3505B">
        <w:rPr>
          <w:rStyle w:val="Hyperlink"/>
          <w:rFonts w:ascii="Arial" w:hAnsi="Arial" w:cs="Arial"/>
          <w:b/>
          <w:bCs/>
          <w:color w:val="505050"/>
          <w:sz w:val="18"/>
          <w:szCs w:val="18"/>
          <w:u w:val="none"/>
        </w:rPr>
        <w:t>3</w:t>
      </w:r>
      <w:r>
        <w:rPr>
          <w:rStyle w:val="Hyperlink"/>
          <w:rFonts w:ascii="Arial" w:hAnsi="Arial" w:cs="Arial"/>
          <w:b/>
          <w:bCs/>
          <w:color w:val="505050"/>
          <w:sz w:val="18"/>
          <w:szCs w:val="18"/>
          <w:u w:val="none"/>
        </w:rPr>
        <w:t xml:space="preserve"> May</w:t>
      </w:r>
      <w:r w:rsidR="003C4BB2" w:rsidRPr="00550B08">
        <w:rPr>
          <w:rStyle w:val="Hyperlink"/>
          <w:rFonts w:ascii="Arial" w:hAnsi="Arial" w:cs="Arial"/>
          <w:b/>
          <w:bCs/>
          <w:color w:val="505050"/>
          <w:sz w:val="18"/>
          <w:szCs w:val="18"/>
          <w:u w:val="none"/>
        </w:rPr>
        <w:t xml:space="preserve"> 202</w:t>
      </w:r>
      <w:r w:rsidR="00D36AF3">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6DAE53C" w14:textId="18D00D5C" w:rsidR="0055150D" w:rsidRPr="00DB2AFC" w:rsidRDefault="0070129C" w:rsidP="00DB2AFC">
      <w:pPr>
        <w:jc w:val="center"/>
        <w:rPr>
          <w:rFonts w:ascii="Arial" w:hAnsi="Arial" w:cs="Arial"/>
          <w:b/>
          <w:bCs/>
          <w:sz w:val="32"/>
          <w:szCs w:val="32"/>
        </w:rPr>
      </w:pPr>
      <w:r>
        <w:rPr>
          <w:rFonts w:ascii="Arial" w:hAnsi="Arial" w:cs="Arial"/>
          <w:b/>
          <w:bCs/>
          <w:sz w:val="32"/>
          <w:szCs w:val="32"/>
        </w:rPr>
        <w:t>Convenience store turnover grows 6% in 2020, despite -1.2% outlet decline</w:t>
      </w:r>
    </w:p>
    <w:p w14:paraId="7351A840" w14:textId="3A22DAEE" w:rsidR="0070129C" w:rsidRDefault="007446FD" w:rsidP="008E5A63">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DB2AFC">
        <w:rPr>
          <w:rFonts w:ascii="Arial" w:hAnsi="Arial" w:cs="Arial"/>
          <w:sz w:val="20"/>
          <w:szCs w:val="20"/>
        </w:rPr>
        <w:t xml:space="preserve">the new Lumina Intelligence UK </w:t>
      </w:r>
      <w:r w:rsidR="0070129C">
        <w:rPr>
          <w:rFonts w:ascii="Arial" w:hAnsi="Arial" w:cs="Arial"/>
          <w:sz w:val="20"/>
          <w:szCs w:val="20"/>
        </w:rPr>
        <w:t>Grocery Data Index</w:t>
      </w:r>
      <w:r w:rsidR="00DB2AFC">
        <w:rPr>
          <w:rFonts w:ascii="Arial" w:hAnsi="Arial" w:cs="Arial"/>
          <w:sz w:val="20"/>
          <w:szCs w:val="20"/>
        </w:rPr>
        <w:t xml:space="preserve"> </w:t>
      </w:r>
      <w:r w:rsidR="000A4322">
        <w:rPr>
          <w:rFonts w:ascii="Arial" w:hAnsi="Arial" w:cs="Arial"/>
          <w:sz w:val="20"/>
          <w:szCs w:val="20"/>
        </w:rPr>
        <w:t xml:space="preserve">for full year 2020 </w:t>
      </w:r>
      <w:r w:rsidR="00DD6F17">
        <w:rPr>
          <w:rFonts w:ascii="Arial" w:hAnsi="Arial" w:cs="Arial"/>
          <w:sz w:val="20"/>
          <w:szCs w:val="20"/>
        </w:rPr>
        <w:t>(created</w:t>
      </w:r>
      <w:r w:rsidR="00DD6F17" w:rsidRPr="00DD6F17">
        <w:rPr>
          <w:rFonts w:ascii="Arial" w:hAnsi="Arial" w:cs="Arial"/>
          <w:sz w:val="20"/>
          <w:szCs w:val="20"/>
        </w:rPr>
        <w:t xml:space="preserve"> in collaboration with The Grocer, Forecourt Trader and ConvenienceStore.co.uk</w:t>
      </w:r>
      <w:r w:rsidR="00DD6F17">
        <w:rPr>
          <w:rFonts w:ascii="Arial" w:hAnsi="Arial" w:cs="Arial"/>
          <w:sz w:val="20"/>
          <w:szCs w:val="20"/>
        </w:rPr>
        <w:t>)</w:t>
      </w:r>
      <w:r w:rsidR="00D36AF3">
        <w:rPr>
          <w:rFonts w:ascii="Arial" w:hAnsi="Arial" w:cs="Arial"/>
          <w:sz w:val="20"/>
          <w:szCs w:val="20"/>
        </w:rPr>
        <w:t xml:space="preserve">, </w:t>
      </w:r>
      <w:r w:rsidR="0070129C">
        <w:rPr>
          <w:rFonts w:ascii="Arial" w:hAnsi="Arial" w:cs="Arial"/>
          <w:sz w:val="20"/>
          <w:szCs w:val="20"/>
        </w:rPr>
        <w:t xml:space="preserve">overall convenience store turnover grew </w:t>
      </w:r>
      <w:r w:rsidR="003069D8">
        <w:rPr>
          <w:rFonts w:ascii="Arial" w:hAnsi="Arial" w:cs="Arial"/>
          <w:sz w:val="20"/>
          <w:szCs w:val="20"/>
        </w:rPr>
        <w:t>+</w:t>
      </w:r>
      <w:r w:rsidR="0070129C">
        <w:rPr>
          <w:rFonts w:ascii="Arial" w:hAnsi="Arial" w:cs="Arial"/>
          <w:sz w:val="20"/>
          <w:szCs w:val="20"/>
        </w:rPr>
        <w:t xml:space="preserve">6% in 2020 to £38.7bn, </w:t>
      </w:r>
      <w:r w:rsidR="000A4322">
        <w:rPr>
          <w:rFonts w:ascii="Arial" w:hAnsi="Arial" w:cs="Arial"/>
          <w:sz w:val="20"/>
          <w:szCs w:val="20"/>
        </w:rPr>
        <w:t xml:space="preserve">whilst </w:t>
      </w:r>
      <w:r w:rsidR="0070129C">
        <w:rPr>
          <w:rFonts w:ascii="Arial" w:hAnsi="Arial" w:cs="Arial"/>
          <w:sz w:val="20"/>
          <w:szCs w:val="20"/>
        </w:rPr>
        <w:t>outlet numbers declined -1.2% to 41,655.</w:t>
      </w:r>
    </w:p>
    <w:p w14:paraId="053E172C" w14:textId="41739457" w:rsidR="0070129C" w:rsidRDefault="000A4322" w:rsidP="008E5A63">
      <w:pPr>
        <w:rPr>
          <w:rFonts w:ascii="Arial" w:hAnsi="Arial" w:cs="Arial"/>
          <w:sz w:val="20"/>
          <w:szCs w:val="20"/>
        </w:rPr>
      </w:pPr>
      <w:r>
        <w:rPr>
          <w:rFonts w:ascii="Arial" w:hAnsi="Arial" w:cs="Arial"/>
          <w:sz w:val="20"/>
          <w:szCs w:val="20"/>
        </w:rPr>
        <w:t>All sub-sectors of convenience experienced turnover growth in the year,</w:t>
      </w:r>
      <w:r w:rsidR="0070129C">
        <w:rPr>
          <w:rFonts w:ascii="Arial" w:hAnsi="Arial" w:cs="Arial"/>
          <w:sz w:val="20"/>
          <w:szCs w:val="20"/>
        </w:rPr>
        <w:t xml:space="preserve"> with unaffiliated independents leading the way with growth of +9.6%</w:t>
      </w:r>
      <w:r>
        <w:rPr>
          <w:rFonts w:ascii="Arial" w:hAnsi="Arial" w:cs="Arial"/>
          <w:sz w:val="20"/>
          <w:szCs w:val="20"/>
        </w:rPr>
        <w:t>.</w:t>
      </w:r>
    </w:p>
    <w:p w14:paraId="36708BC4" w14:textId="32F0B2FF" w:rsidR="0070129C" w:rsidRPr="0070129C" w:rsidRDefault="0070129C" w:rsidP="0070129C">
      <w:pPr>
        <w:pStyle w:val="ListParagraph"/>
        <w:numPr>
          <w:ilvl w:val="0"/>
          <w:numId w:val="13"/>
        </w:numPr>
        <w:rPr>
          <w:rFonts w:ascii="Arial" w:hAnsi="Arial" w:cs="Arial"/>
          <w:sz w:val="20"/>
          <w:szCs w:val="20"/>
        </w:rPr>
      </w:pPr>
      <w:r w:rsidRPr="0070129C">
        <w:rPr>
          <w:rFonts w:ascii="Arial" w:hAnsi="Arial" w:cs="Arial"/>
          <w:sz w:val="20"/>
          <w:szCs w:val="20"/>
        </w:rPr>
        <w:t xml:space="preserve">Convenience multiples - </w:t>
      </w:r>
      <w:r>
        <w:rPr>
          <w:rFonts w:ascii="Arial" w:hAnsi="Arial" w:cs="Arial"/>
          <w:sz w:val="20"/>
          <w:szCs w:val="20"/>
        </w:rPr>
        <w:t>+</w:t>
      </w:r>
      <w:r w:rsidRPr="0070129C">
        <w:rPr>
          <w:rFonts w:ascii="Arial" w:hAnsi="Arial" w:cs="Arial"/>
          <w:sz w:val="20"/>
          <w:szCs w:val="20"/>
        </w:rPr>
        <w:t>0.4%</w:t>
      </w:r>
    </w:p>
    <w:p w14:paraId="17E78AC4" w14:textId="570FAF3C" w:rsidR="0070129C" w:rsidRPr="0070129C" w:rsidRDefault="0070129C" w:rsidP="0070129C">
      <w:pPr>
        <w:pStyle w:val="ListParagraph"/>
        <w:numPr>
          <w:ilvl w:val="0"/>
          <w:numId w:val="13"/>
        </w:numPr>
        <w:rPr>
          <w:rFonts w:ascii="Arial" w:hAnsi="Arial" w:cs="Arial"/>
          <w:sz w:val="20"/>
          <w:szCs w:val="20"/>
        </w:rPr>
      </w:pPr>
      <w:r w:rsidRPr="0070129C">
        <w:rPr>
          <w:rFonts w:ascii="Arial" w:hAnsi="Arial" w:cs="Arial"/>
          <w:sz w:val="20"/>
          <w:szCs w:val="20"/>
        </w:rPr>
        <w:t xml:space="preserve">Co-operative societies - </w:t>
      </w:r>
      <w:r>
        <w:rPr>
          <w:rFonts w:ascii="Arial" w:hAnsi="Arial" w:cs="Arial"/>
          <w:sz w:val="20"/>
          <w:szCs w:val="20"/>
        </w:rPr>
        <w:t>+</w:t>
      </w:r>
      <w:r w:rsidRPr="0070129C">
        <w:rPr>
          <w:rFonts w:ascii="Arial" w:hAnsi="Arial" w:cs="Arial"/>
          <w:sz w:val="20"/>
          <w:szCs w:val="20"/>
        </w:rPr>
        <w:t>9.1%</w:t>
      </w:r>
    </w:p>
    <w:p w14:paraId="7B60C567" w14:textId="0FC27F65" w:rsidR="0070129C" w:rsidRPr="0070129C" w:rsidRDefault="0070129C" w:rsidP="0070129C">
      <w:pPr>
        <w:pStyle w:val="ListParagraph"/>
        <w:numPr>
          <w:ilvl w:val="0"/>
          <w:numId w:val="13"/>
        </w:numPr>
        <w:rPr>
          <w:rFonts w:ascii="Arial" w:hAnsi="Arial" w:cs="Arial"/>
          <w:sz w:val="20"/>
          <w:szCs w:val="20"/>
        </w:rPr>
      </w:pPr>
      <w:r w:rsidRPr="0070129C">
        <w:rPr>
          <w:rFonts w:ascii="Arial" w:hAnsi="Arial" w:cs="Arial"/>
          <w:sz w:val="20"/>
          <w:szCs w:val="20"/>
        </w:rPr>
        <w:t xml:space="preserve">Symbol groups - </w:t>
      </w:r>
      <w:r>
        <w:rPr>
          <w:rFonts w:ascii="Arial" w:hAnsi="Arial" w:cs="Arial"/>
          <w:sz w:val="20"/>
          <w:szCs w:val="20"/>
        </w:rPr>
        <w:t>+</w:t>
      </w:r>
      <w:r w:rsidRPr="0070129C">
        <w:rPr>
          <w:rFonts w:ascii="Arial" w:hAnsi="Arial" w:cs="Arial"/>
          <w:sz w:val="20"/>
          <w:szCs w:val="20"/>
        </w:rPr>
        <w:t>6.3%</w:t>
      </w:r>
    </w:p>
    <w:p w14:paraId="0855AC40" w14:textId="2496CCF3" w:rsidR="0070129C" w:rsidRDefault="0070129C" w:rsidP="0070129C">
      <w:pPr>
        <w:pStyle w:val="ListParagraph"/>
        <w:numPr>
          <w:ilvl w:val="0"/>
          <w:numId w:val="13"/>
        </w:numPr>
        <w:rPr>
          <w:rFonts w:ascii="Arial" w:hAnsi="Arial" w:cs="Arial"/>
          <w:sz w:val="20"/>
          <w:szCs w:val="20"/>
        </w:rPr>
      </w:pPr>
      <w:r w:rsidRPr="0070129C">
        <w:rPr>
          <w:rFonts w:ascii="Arial" w:hAnsi="Arial" w:cs="Arial"/>
          <w:sz w:val="20"/>
          <w:szCs w:val="20"/>
        </w:rPr>
        <w:t xml:space="preserve">Unaffiliated independents - </w:t>
      </w:r>
      <w:r>
        <w:rPr>
          <w:rFonts w:ascii="Arial" w:hAnsi="Arial" w:cs="Arial"/>
          <w:sz w:val="20"/>
          <w:szCs w:val="20"/>
        </w:rPr>
        <w:t>+</w:t>
      </w:r>
      <w:r w:rsidRPr="0070129C">
        <w:rPr>
          <w:rFonts w:ascii="Arial" w:hAnsi="Arial" w:cs="Arial"/>
          <w:sz w:val="20"/>
          <w:szCs w:val="20"/>
        </w:rPr>
        <w:t>9.6%</w:t>
      </w:r>
    </w:p>
    <w:p w14:paraId="484155A0" w14:textId="12F348FC" w:rsidR="00DD6F17" w:rsidRDefault="000A4322" w:rsidP="00DD6F17">
      <w:pPr>
        <w:rPr>
          <w:rFonts w:ascii="Arial" w:hAnsi="Arial" w:cs="Arial"/>
          <w:sz w:val="20"/>
          <w:szCs w:val="20"/>
        </w:rPr>
      </w:pPr>
      <w:r>
        <w:rPr>
          <w:rFonts w:ascii="Arial" w:hAnsi="Arial" w:cs="Arial"/>
          <w:sz w:val="20"/>
          <w:szCs w:val="20"/>
        </w:rPr>
        <w:t>F</w:t>
      </w:r>
      <w:r w:rsidR="00DD6F17">
        <w:rPr>
          <w:rFonts w:ascii="Arial" w:hAnsi="Arial" w:cs="Arial"/>
          <w:sz w:val="20"/>
          <w:szCs w:val="20"/>
        </w:rPr>
        <w:t xml:space="preserve">orecourt sites with a </w:t>
      </w:r>
      <w:r>
        <w:rPr>
          <w:rFonts w:ascii="Arial" w:hAnsi="Arial" w:cs="Arial"/>
          <w:sz w:val="20"/>
          <w:szCs w:val="20"/>
        </w:rPr>
        <w:t>shop/</w:t>
      </w:r>
      <w:r w:rsidR="00DD6F17">
        <w:rPr>
          <w:rFonts w:ascii="Arial" w:hAnsi="Arial" w:cs="Arial"/>
          <w:sz w:val="20"/>
          <w:szCs w:val="20"/>
        </w:rPr>
        <w:t>convenience store have seen modest turnover growth of +0.6% in 2020</w:t>
      </w:r>
      <w:r w:rsidR="003F71CD">
        <w:rPr>
          <w:rFonts w:ascii="Arial" w:hAnsi="Arial" w:cs="Arial"/>
          <w:sz w:val="20"/>
          <w:szCs w:val="20"/>
        </w:rPr>
        <w:t>,</w:t>
      </w:r>
      <w:r w:rsidR="00DD6F17">
        <w:rPr>
          <w:rFonts w:ascii="Arial" w:hAnsi="Arial" w:cs="Arial"/>
          <w:sz w:val="20"/>
          <w:szCs w:val="20"/>
        </w:rPr>
        <w:t xml:space="preserve"> to £4.7bn and outlet decline of -2.1% to 7,508.</w:t>
      </w:r>
      <w:r w:rsidR="00770FD9">
        <w:rPr>
          <w:rFonts w:ascii="Arial" w:hAnsi="Arial" w:cs="Arial"/>
          <w:sz w:val="20"/>
          <w:szCs w:val="20"/>
        </w:rPr>
        <w:t xml:space="preserve"> </w:t>
      </w:r>
      <w:r w:rsidR="003F71CD">
        <w:rPr>
          <w:rFonts w:ascii="Arial" w:hAnsi="Arial" w:cs="Arial"/>
          <w:sz w:val="20"/>
          <w:szCs w:val="20"/>
        </w:rPr>
        <w:t>Larger i</w:t>
      </w:r>
      <w:r w:rsidR="00770FD9">
        <w:rPr>
          <w:rFonts w:ascii="Arial" w:hAnsi="Arial" w:cs="Arial"/>
          <w:sz w:val="20"/>
          <w:szCs w:val="20"/>
        </w:rPr>
        <w:t xml:space="preserve">ndependent dealers </w:t>
      </w:r>
      <w:r w:rsidR="003F71CD">
        <w:rPr>
          <w:rFonts w:ascii="Arial" w:hAnsi="Arial" w:cs="Arial"/>
          <w:sz w:val="20"/>
          <w:szCs w:val="20"/>
        </w:rPr>
        <w:t xml:space="preserve">(those with 10 sites or more) </w:t>
      </w:r>
      <w:r w:rsidR="00770FD9">
        <w:rPr>
          <w:rFonts w:ascii="Arial" w:hAnsi="Arial" w:cs="Arial"/>
          <w:sz w:val="20"/>
          <w:szCs w:val="20"/>
        </w:rPr>
        <w:t xml:space="preserve">experienced </w:t>
      </w:r>
      <w:r w:rsidR="003F71CD">
        <w:rPr>
          <w:rFonts w:ascii="Arial" w:hAnsi="Arial" w:cs="Arial"/>
          <w:sz w:val="20"/>
          <w:szCs w:val="20"/>
        </w:rPr>
        <w:t xml:space="preserve">the </w:t>
      </w:r>
      <w:r w:rsidR="00770FD9">
        <w:rPr>
          <w:rFonts w:ascii="Arial" w:hAnsi="Arial" w:cs="Arial"/>
          <w:sz w:val="20"/>
          <w:szCs w:val="20"/>
        </w:rPr>
        <w:t>largest growth in turnover (</w:t>
      </w:r>
      <w:r w:rsidR="003F71CD">
        <w:rPr>
          <w:rFonts w:ascii="Arial" w:hAnsi="Arial" w:cs="Arial"/>
          <w:sz w:val="20"/>
          <w:szCs w:val="20"/>
        </w:rPr>
        <w:t>+</w:t>
      </w:r>
      <w:r w:rsidR="00770FD9">
        <w:rPr>
          <w:rFonts w:ascii="Arial" w:hAnsi="Arial" w:cs="Arial"/>
          <w:sz w:val="20"/>
          <w:szCs w:val="20"/>
        </w:rPr>
        <w:t xml:space="preserve">4.1%), </w:t>
      </w:r>
      <w:r w:rsidR="003F71CD">
        <w:rPr>
          <w:rFonts w:ascii="Arial" w:hAnsi="Arial" w:cs="Arial"/>
          <w:sz w:val="20"/>
          <w:szCs w:val="20"/>
        </w:rPr>
        <w:t>meanwhile outlet decline was drive</w:t>
      </w:r>
      <w:r w:rsidR="00A60803">
        <w:rPr>
          <w:rFonts w:ascii="Arial" w:hAnsi="Arial" w:cs="Arial"/>
          <w:sz w:val="20"/>
          <w:szCs w:val="20"/>
        </w:rPr>
        <w:t>n</w:t>
      </w:r>
      <w:r w:rsidR="003F71CD">
        <w:rPr>
          <w:rFonts w:ascii="Arial" w:hAnsi="Arial" w:cs="Arial"/>
          <w:sz w:val="20"/>
          <w:szCs w:val="20"/>
        </w:rPr>
        <w:t xml:space="preserve"> by smaller dealers (with 9 sites or less)</w:t>
      </w:r>
      <w:r w:rsidR="00770FD9">
        <w:rPr>
          <w:rFonts w:ascii="Arial" w:hAnsi="Arial" w:cs="Arial"/>
          <w:sz w:val="20"/>
          <w:szCs w:val="20"/>
        </w:rPr>
        <w:t xml:space="preserve">. The </w:t>
      </w:r>
      <w:r w:rsidR="003F71CD">
        <w:rPr>
          <w:rFonts w:ascii="Arial" w:hAnsi="Arial" w:cs="Arial"/>
          <w:sz w:val="20"/>
          <w:szCs w:val="20"/>
        </w:rPr>
        <w:t xml:space="preserve">number </w:t>
      </w:r>
      <w:r w:rsidR="00770FD9">
        <w:rPr>
          <w:rFonts w:ascii="Arial" w:hAnsi="Arial" w:cs="Arial"/>
          <w:sz w:val="20"/>
          <w:szCs w:val="20"/>
        </w:rPr>
        <w:t xml:space="preserve">of forecourts without a </w:t>
      </w:r>
      <w:r w:rsidR="003F71CD">
        <w:rPr>
          <w:rFonts w:ascii="Arial" w:hAnsi="Arial" w:cs="Arial"/>
          <w:sz w:val="20"/>
          <w:szCs w:val="20"/>
        </w:rPr>
        <w:t>shop</w:t>
      </w:r>
      <w:r w:rsidR="00770FD9">
        <w:rPr>
          <w:rFonts w:ascii="Arial" w:hAnsi="Arial" w:cs="Arial"/>
          <w:sz w:val="20"/>
          <w:szCs w:val="20"/>
        </w:rPr>
        <w:t xml:space="preserve"> increased</w:t>
      </w:r>
      <w:r w:rsidR="003F71CD">
        <w:rPr>
          <w:rFonts w:ascii="Arial" w:hAnsi="Arial" w:cs="Arial"/>
          <w:sz w:val="20"/>
          <w:szCs w:val="20"/>
        </w:rPr>
        <w:t xml:space="preserve"> +1.7%</w:t>
      </w:r>
      <w:r w:rsidR="00770FD9">
        <w:rPr>
          <w:rFonts w:ascii="Arial" w:hAnsi="Arial" w:cs="Arial"/>
          <w:sz w:val="20"/>
          <w:szCs w:val="20"/>
        </w:rPr>
        <w:t xml:space="preserve"> in 2020</w:t>
      </w:r>
      <w:r w:rsidR="003F71CD">
        <w:rPr>
          <w:rFonts w:ascii="Arial" w:hAnsi="Arial" w:cs="Arial"/>
          <w:sz w:val="20"/>
          <w:szCs w:val="20"/>
        </w:rPr>
        <w:t>,</w:t>
      </w:r>
      <w:r w:rsidR="00770FD9">
        <w:rPr>
          <w:rFonts w:ascii="Arial" w:hAnsi="Arial" w:cs="Arial"/>
          <w:sz w:val="20"/>
          <w:szCs w:val="20"/>
        </w:rPr>
        <w:t xml:space="preserve"> to 992</w:t>
      </w:r>
      <w:r w:rsidR="003F71CD">
        <w:rPr>
          <w:rFonts w:ascii="Arial" w:hAnsi="Arial" w:cs="Arial"/>
          <w:sz w:val="20"/>
          <w:szCs w:val="20"/>
        </w:rPr>
        <w:t>.</w:t>
      </w:r>
    </w:p>
    <w:p w14:paraId="28E3718F" w14:textId="1E62B81B" w:rsidR="00770FD9" w:rsidRDefault="003F71CD" w:rsidP="00DD6F17">
      <w:pPr>
        <w:rPr>
          <w:rFonts w:ascii="Arial" w:hAnsi="Arial" w:cs="Arial"/>
          <w:sz w:val="20"/>
          <w:szCs w:val="20"/>
        </w:rPr>
      </w:pPr>
      <w:r>
        <w:rPr>
          <w:rFonts w:ascii="Arial" w:hAnsi="Arial" w:cs="Arial"/>
          <w:sz w:val="20"/>
          <w:szCs w:val="20"/>
        </w:rPr>
        <w:t>The number of</w:t>
      </w:r>
      <w:r w:rsidR="00770FD9">
        <w:rPr>
          <w:rFonts w:ascii="Arial" w:hAnsi="Arial" w:cs="Arial"/>
          <w:sz w:val="20"/>
          <w:szCs w:val="20"/>
        </w:rPr>
        <w:t xml:space="preserve"> supermarket and discounter</w:t>
      </w:r>
      <w:r>
        <w:rPr>
          <w:rFonts w:ascii="Arial" w:hAnsi="Arial" w:cs="Arial"/>
          <w:sz w:val="20"/>
          <w:szCs w:val="20"/>
        </w:rPr>
        <w:t xml:space="preserve"> outlets </w:t>
      </w:r>
      <w:r w:rsidR="00770FD9">
        <w:rPr>
          <w:rFonts w:ascii="Arial" w:hAnsi="Arial" w:cs="Arial"/>
          <w:sz w:val="20"/>
          <w:szCs w:val="20"/>
        </w:rPr>
        <w:t xml:space="preserve">rose </w:t>
      </w:r>
      <w:r>
        <w:rPr>
          <w:rFonts w:ascii="Arial" w:hAnsi="Arial" w:cs="Arial"/>
          <w:sz w:val="20"/>
          <w:szCs w:val="20"/>
        </w:rPr>
        <w:t>+</w:t>
      </w:r>
      <w:r w:rsidR="00770FD9">
        <w:rPr>
          <w:rFonts w:ascii="Arial" w:hAnsi="Arial" w:cs="Arial"/>
          <w:sz w:val="20"/>
          <w:szCs w:val="20"/>
        </w:rPr>
        <w:t>1.1% in 2020 to 10,974</w:t>
      </w:r>
      <w:r>
        <w:rPr>
          <w:rFonts w:ascii="Arial" w:hAnsi="Arial" w:cs="Arial"/>
          <w:sz w:val="20"/>
          <w:szCs w:val="20"/>
        </w:rPr>
        <w:t xml:space="preserve"> and</w:t>
      </w:r>
      <w:r w:rsidR="00770FD9">
        <w:rPr>
          <w:rFonts w:ascii="Arial" w:hAnsi="Arial" w:cs="Arial"/>
          <w:sz w:val="20"/>
          <w:szCs w:val="20"/>
        </w:rPr>
        <w:t xml:space="preserve"> turnover increas</w:t>
      </w:r>
      <w:r>
        <w:rPr>
          <w:rFonts w:ascii="Arial" w:hAnsi="Arial" w:cs="Arial"/>
          <w:sz w:val="20"/>
          <w:szCs w:val="20"/>
        </w:rPr>
        <w:t>ed by +</w:t>
      </w:r>
      <w:r w:rsidR="00770FD9">
        <w:rPr>
          <w:rFonts w:ascii="Arial" w:hAnsi="Arial" w:cs="Arial"/>
          <w:sz w:val="20"/>
          <w:szCs w:val="20"/>
        </w:rPr>
        <w:t>7.8% to £160bn.</w:t>
      </w:r>
    </w:p>
    <w:p w14:paraId="59408C51" w14:textId="0C78D897" w:rsidR="00770FD9" w:rsidRDefault="001C257C" w:rsidP="00770FD9">
      <w:pPr>
        <w:rPr>
          <w:rFonts w:ascii="Arial" w:hAnsi="Arial" w:cs="Arial"/>
          <w:i/>
          <w:iCs/>
          <w:sz w:val="20"/>
          <w:szCs w:val="20"/>
        </w:rPr>
      </w:pPr>
      <w:r>
        <w:rPr>
          <w:rFonts w:ascii="Arial" w:hAnsi="Arial" w:cs="Arial"/>
          <w:sz w:val="20"/>
          <w:szCs w:val="20"/>
        </w:rPr>
        <w:t xml:space="preserve">Commenting on the </w:t>
      </w:r>
      <w:r w:rsidR="00D7168C">
        <w:rPr>
          <w:rFonts w:ascii="Arial" w:hAnsi="Arial" w:cs="Arial"/>
          <w:sz w:val="20"/>
          <w:szCs w:val="20"/>
        </w:rPr>
        <w:t>finding</w:t>
      </w:r>
      <w:r w:rsidR="00770FD9">
        <w:rPr>
          <w:rFonts w:ascii="Arial" w:hAnsi="Arial" w:cs="Arial"/>
          <w:sz w:val="20"/>
          <w:szCs w:val="20"/>
        </w:rPr>
        <w:t>s</w:t>
      </w:r>
      <w:r>
        <w:rPr>
          <w:rFonts w:ascii="Arial" w:hAnsi="Arial" w:cs="Arial"/>
          <w:sz w:val="20"/>
          <w:szCs w:val="20"/>
        </w:rPr>
        <w:t xml:space="preserve">, </w:t>
      </w:r>
      <w:r w:rsidR="00770FD9">
        <w:rPr>
          <w:rFonts w:ascii="Arial" w:hAnsi="Arial" w:cs="Arial"/>
          <w:sz w:val="20"/>
          <w:szCs w:val="20"/>
        </w:rPr>
        <w:t>Katherine Prowse</w:t>
      </w:r>
      <w:r>
        <w:rPr>
          <w:rFonts w:ascii="Arial" w:hAnsi="Arial" w:cs="Arial"/>
          <w:sz w:val="20"/>
          <w:szCs w:val="20"/>
        </w:rPr>
        <w:t xml:space="preserve">, </w:t>
      </w:r>
      <w:r w:rsidR="00770FD9">
        <w:rPr>
          <w:rFonts w:ascii="Arial" w:hAnsi="Arial" w:cs="Arial"/>
          <w:sz w:val="20"/>
          <w:szCs w:val="20"/>
        </w:rPr>
        <w:t xml:space="preserve">Senior </w:t>
      </w:r>
      <w:r w:rsidR="00D7168C">
        <w:rPr>
          <w:rFonts w:ascii="Arial" w:hAnsi="Arial" w:cs="Arial"/>
          <w:sz w:val="20"/>
          <w:szCs w:val="20"/>
        </w:rPr>
        <w:t>Insight</w:t>
      </w:r>
      <w:r w:rsidR="00770FD9">
        <w:rPr>
          <w:rFonts w:ascii="Arial" w:hAnsi="Arial" w:cs="Arial"/>
          <w:sz w:val="20"/>
          <w:szCs w:val="20"/>
        </w:rPr>
        <w:t xml:space="preserve"> Manager </w:t>
      </w:r>
      <w:r>
        <w:rPr>
          <w:rFonts w:ascii="Arial" w:hAnsi="Arial" w:cs="Arial"/>
          <w:sz w:val="20"/>
          <w:szCs w:val="20"/>
        </w:rPr>
        <w:t xml:space="preserve">at Lumina Intelligence said, </w:t>
      </w:r>
      <w:r w:rsidRPr="00E362CA">
        <w:rPr>
          <w:rFonts w:ascii="Arial" w:hAnsi="Arial" w:cs="Arial"/>
          <w:i/>
          <w:iCs/>
          <w:sz w:val="20"/>
          <w:szCs w:val="20"/>
        </w:rPr>
        <w:t>“</w:t>
      </w:r>
      <w:r w:rsidR="00381861">
        <w:rPr>
          <w:rFonts w:ascii="Arial" w:hAnsi="Arial" w:cs="Arial"/>
          <w:i/>
          <w:iCs/>
          <w:sz w:val="20"/>
          <w:szCs w:val="20"/>
        </w:rPr>
        <w:t>This</w:t>
      </w:r>
      <w:r w:rsidR="00381861" w:rsidRPr="003E204B">
        <w:rPr>
          <w:rFonts w:ascii="Arial" w:hAnsi="Arial" w:cs="Arial"/>
          <w:i/>
          <w:iCs/>
          <w:sz w:val="20"/>
          <w:szCs w:val="20"/>
        </w:rPr>
        <w:t xml:space="preserve"> </w:t>
      </w:r>
      <w:r w:rsidR="00770FD9" w:rsidRPr="003E204B">
        <w:rPr>
          <w:rFonts w:ascii="Arial" w:hAnsi="Arial" w:cs="Arial"/>
          <w:i/>
          <w:iCs/>
          <w:sz w:val="20"/>
          <w:szCs w:val="20"/>
        </w:rPr>
        <w:t>latest re</w:t>
      </w:r>
      <w:r w:rsidR="00381861">
        <w:rPr>
          <w:rFonts w:ascii="Arial" w:hAnsi="Arial" w:cs="Arial"/>
          <w:i/>
          <w:iCs/>
          <w:sz w:val="20"/>
          <w:szCs w:val="20"/>
        </w:rPr>
        <w:t xml:space="preserve">port </w:t>
      </w:r>
      <w:r w:rsidR="00770FD9" w:rsidRPr="003E204B">
        <w:rPr>
          <w:rFonts w:ascii="Arial" w:hAnsi="Arial" w:cs="Arial"/>
          <w:i/>
          <w:iCs/>
          <w:sz w:val="20"/>
          <w:szCs w:val="20"/>
        </w:rPr>
        <w:t xml:space="preserve">covers </w:t>
      </w:r>
      <w:r w:rsidR="00381861">
        <w:rPr>
          <w:rFonts w:ascii="Arial" w:hAnsi="Arial" w:cs="Arial"/>
          <w:i/>
          <w:iCs/>
          <w:sz w:val="20"/>
          <w:szCs w:val="20"/>
        </w:rPr>
        <w:t xml:space="preserve">the </w:t>
      </w:r>
      <w:r w:rsidR="00770FD9" w:rsidRPr="003E204B">
        <w:rPr>
          <w:rFonts w:ascii="Arial" w:hAnsi="Arial" w:cs="Arial"/>
          <w:i/>
          <w:iCs/>
          <w:sz w:val="20"/>
          <w:szCs w:val="20"/>
        </w:rPr>
        <w:t xml:space="preserve">entire </w:t>
      </w:r>
      <w:r w:rsidR="00381861">
        <w:rPr>
          <w:rFonts w:ascii="Arial" w:hAnsi="Arial" w:cs="Arial"/>
          <w:i/>
          <w:iCs/>
          <w:sz w:val="20"/>
          <w:szCs w:val="20"/>
        </w:rPr>
        <w:t xml:space="preserve">UK grocery retail market </w:t>
      </w:r>
      <w:r w:rsidR="00770FD9" w:rsidRPr="003E204B">
        <w:rPr>
          <w:rFonts w:ascii="Arial" w:hAnsi="Arial" w:cs="Arial"/>
          <w:i/>
          <w:iCs/>
          <w:sz w:val="20"/>
          <w:szCs w:val="20"/>
        </w:rPr>
        <w:t>landscape</w:t>
      </w:r>
      <w:r w:rsidR="00381861">
        <w:rPr>
          <w:rFonts w:ascii="Arial" w:hAnsi="Arial" w:cs="Arial"/>
          <w:i/>
          <w:iCs/>
          <w:sz w:val="20"/>
          <w:szCs w:val="20"/>
        </w:rPr>
        <w:t xml:space="preserve"> and includes</w:t>
      </w:r>
      <w:r w:rsidR="00381861">
        <w:rPr>
          <w:rFonts w:ascii="Arial" w:hAnsi="Arial" w:cs="Arial"/>
          <w:i/>
          <w:iCs/>
          <w:sz w:val="20"/>
          <w:szCs w:val="20"/>
        </w:rPr>
        <w:t xml:space="preserve"> </w:t>
      </w:r>
      <w:r w:rsidR="00770FD9" w:rsidRPr="003E204B">
        <w:rPr>
          <w:rFonts w:ascii="Arial" w:hAnsi="Arial" w:cs="Arial"/>
          <w:i/>
          <w:iCs/>
          <w:sz w:val="20"/>
          <w:szCs w:val="20"/>
        </w:rPr>
        <w:t xml:space="preserve">outlet </w:t>
      </w:r>
      <w:r w:rsidR="00770FD9">
        <w:rPr>
          <w:rFonts w:ascii="Arial" w:hAnsi="Arial" w:cs="Arial"/>
          <w:i/>
          <w:iCs/>
          <w:sz w:val="20"/>
          <w:szCs w:val="20"/>
        </w:rPr>
        <w:t>numbers</w:t>
      </w:r>
      <w:r w:rsidR="00770FD9" w:rsidRPr="003E204B">
        <w:rPr>
          <w:rFonts w:ascii="Arial" w:hAnsi="Arial" w:cs="Arial"/>
          <w:i/>
          <w:iCs/>
          <w:sz w:val="20"/>
          <w:szCs w:val="20"/>
        </w:rPr>
        <w:t xml:space="preserve"> and turnover estimates for supermarket, convenience store, discounter and forecourt operators across the UK.</w:t>
      </w:r>
      <w:r w:rsidR="00770FD9">
        <w:rPr>
          <w:rFonts w:ascii="Arial" w:hAnsi="Arial" w:cs="Arial"/>
          <w:i/>
          <w:iCs/>
          <w:sz w:val="20"/>
          <w:szCs w:val="20"/>
        </w:rPr>
        <w:t>”</w:t>
      </w:r>
      <w:r w:rsidR="00770FD9" w:rsidRPr="003E204B">
        <w:rPr>
          <w:rFonts w:ascii="Arial" w:hAnsi="Arial" w:cs="Arial"/>
          <w:i/>
          <w:iCs/>
          <w:sz w:val="20"/>
          <w:szCs w:val="20"/>
        </w:rPr>
        <w:t xml:space="preserve"> </w:t>
      </w:r>
    </w:p>
    <w:p w14:paraId="172BAEF5" w14:textId="6E81EC3E" w:rsidR="00381861" w:rsidRDefault="00381861" w:rsidP="00770FD9">
      <w:pPr>
        <w:rPr>
          <w:rFonts w:ascii="Arial" w:hAnsi="Arial" w:cs="Arial"/>
          <w:i/>
          <w:iCs/>
          <w:sz w:val="20"/>
          <w:szCs w:val="20"/>
        </w:rPr>
      </w:pPr>
      <w:r>
        <w:rPr>
          <w:rFonts w:ascii="Arial" w:hAnsi="Arial" w:cs="Arial"/>
          <w:i/>
          <w:iCs/>
          <w:sz w:val="20"/>
          <w:szCs w:val="20"/>
        </w:rPr>
        <w:t>“</w:t>
      </w:r>
      <w:r w:rsidR="0017594D">
        <w:rPr>
          <w:rFonts w:ascii="Arial" w:hAnsi="Arial" w:cs="Arial"/>
          <w:i/>
          <w:iCs/>
          <w:sz w:val="20"/>
          <w:szCs w:val="20"/>
        </w:rPr>
        <w:t xml:space="preserve">2020 saw an incredible performance for grocery retail as the sector benefitted from the closure of hospitality and the shift to greater in-home consumption. As always, it is a story of two halves as those operators with a high exposure to urban locations, as well as those reliant on travel (including much of the forecourt sector) performed less well as movement was limited, whilst others were well placed to benefit from greater home working and the suburban migration. </w:t>
      </w:r>
      <w:r w:rsidR="003069D8">
        <w:rPr>
          <w:rFonts w:ascii="Arial" w:hAnsi="Arial" w:cs="Arial"/>
          <w:i/>
          <w:iCs/>
          <w:sz w:val="20"/>
          <w:szCs w:val="20"/>
        </w:rPr>
        <w:t>Whilst we can’t expect growth to continue at this level as we annualise on 2020 performance, with continued restrictions for the first half of 2021 we anticipate sales levels to remain higher than pre-pandemic</w:t>
      </w:r>
      <w:r w:rsidR="0017594D">
        <w:rPr>
          <w:rFonts w:ascii="Arial" w:hAnsi="Arial" w:cs="Arial"/>
          <w:i/>
          <w:iCs/>
          <w:sz w:val="20"/>
          <w:szCs w:val="20"/>
        </w:rPr>
        <w:t>.</w:t>
      </w:r>
      <w:r w:rsidR="00B41A43">
        <w:rPr>
          <w:rFonts w:ascii="Arial" w:hAnsi="Arial" w:cs="Arial"/>
          <w:i/>
          <w:iCs/>
          <w:sz w:val="20"/>
          <w:szCs w:val="20"/>
        </w:rPr>
        <w:t>”</w:t>
      </w:r>
      <w:r w:rsidR="0017594D">
        <w:rPr>
          <w:rFonts w:ascii="Arial" w:hAnsi="Arial" w:cs="Arial"/>
          <w:i/>
          <w:iCs/>
          <w:sz w:val="20"/>
          <w:szCs w:val="20"/>
        </w:rPr>
        <w:t xml:space="preserve"> </w:t>
      </w:r>
    </w:p>
    <w:p w14:paraId="16991BF6" w14:textId="048D3411" w:rsidR="00746C84" w:rsidRPr="00746C84" w:rsidRDefault="00746C84" w:rsidP="00770FD9">
      <w:pPr>
        <w:rPr>
          <w:rFonts w:ascii="Arial" w:hAnsi="Arial" w:cs="Arial"/>
          <w:sz w:val="20"/>
          <w:szCs w:val="20"/>
        </w:rPr>
      </w:pPr>
      <w:r w:rsidRPr="00746C84">
        <w:rPr>
          <w:rFonts w:ascii="Arial" w:hAnsi="Arial" w:cs="Arial"/>
          <w:sz w:val="20"/>
          <w:szCs w:val="20"/>
        </w:rPr>
        <w:t xml:space="preserve">You can find out more about our Grocery Data Index </w:t>
      </w:r>
      <w:hyperlink r:id="rId8" w:history="1">
        <w:r w:rsidRPr="00FD3799">
          <w:rPr>
            <w:rStyle w:val="Hyperlink"/>
            <w:rFonts w:ascii="Arial" w:hAnsi="Arial" w:cs="Arial"/>
            <w:sz w:val="20"/>
            <w:szCs w:val="20"/>
          </w:rPr>
          <w:t>here</w:t>
        </w:r>
      </w:hyperlink>
      <w:r w:rsidRPr="00746C84">
        <w:rPr>
          <w:rFonts w:ascii="Arial" w:hAnsi="Arial" w:cs="Arial"/>
          <w:sz w:val="20"/>
          <w:szCs w:val="20"/>
        </w:rPr>
        <w:t>.</w:t>
      </w:r>
    </w:p>
    <w:p w14:paraId="68874F62" w14:textId="58978DCE" w:rsidR="00493A4C" w:rsidRDefault="00493A4C" w:rsidP="00770FD9">
      <w:pPr>
        <w:rPr>
          <w:rFonts w:ascii="Arial" w:hAnsi="Arial" w:cs="Arial"/>
          <w:sz w:val="20"/>
          <w:szCs w:val="20"/>
        </w:rPr>
      </w:pP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7662A1AE" w14:textId="77777777" w:rsidR="00746C84" w:rsidRDefault="00746C84" w:rsidP="00746C84">
      <w:pPr>
        <w:rPr>
          <w:rFonts w:ascii="Arial" w:hAnsi="Arial" w:cs="Arial"/>
          <w:sz w:val="20"/>
          <w:szCs w:val="20"/>
        </w:rPr>
      </w:pPr>
      <w:r w:rsidRPr="007446FD">
        <w:rPr>
          <w:rFonts w:ascii="Arial" w:hAnsi="Arial" w:cs="Arial"/>
          <w:sz w:val="20"/>
          <w:szCs w:val="20"/>
        </w:rPr>
        <w:t>The</w:t>
      </w:r>
      <w:r>
        <w:rPr>
          <w:rFonts w:ascii="Arial" w:hAnsi="Arial" w:cs="Arial"/>
          <w:sz w:val="20"/>
          <w:szCs w:val="20"/>
        </w:rPr>
        <w:t xml:space="preserve"> data within</w:t>
      </w:r>
      <w:r w:rsidRPr="007446FD">
        <w:rPr>
          <w:rFonts w:ascii="Arial" w:hAnsi="Arial" w:cs="Arial"/>
          <w:sz w:val="20"/>
          <w:szCs w:val="20"/>
        </w:rPr>
        <w:t xml:space="preserve"> </w:t>
      </w:r>
      <w:r>
        <w:rPr>
          <w:rFonts w:ascii="Arial" w:hAnsi="Arial" w:cs="Arial"/>
          <w:sz w:val="20"/>
          <w:szCs w:val="20"/>
        </w:rPr>
        <w:t>Lumina Intelligence Grocery Data Index was collated in the following ways:</w:t>
      </w:r>
    </w:p>
    <w:p w14:paraId="40E17CC8" w14:textId="77777777" w:rsidR="00746C84" w:rsidRDefault="00746C84" w:rsidP="00746C84">
      <w:pPr>
        <w:pStyle w:val="ListParagraph"/>
        <w:numPr>
          <w:ilvl w:val="0"/>
          <w:numId w:val="5"/>
        </w:numPr>
        <w:rPr>
          <w:rFonts w:ascii="Arial" w:hAnsi="Arial" w:cs="Arial"/>
          <w:sz w:val="20"/>
          <w:szCs w:val="20"/>
        </w:rPr>
      </w:pPr>
      <w:r>
        <w:rPr>
          <w:rFonts w:ascii="Arial" w:hAnsi="Arial" w:cs="Arial"/>
          <w:sz w:val="20"/>
          <w:szCs w:val="20"/>
        </w:rPr>
        <w:t>D</w:t>
      </w:r>
      <w:r w:rsidRPr="003E204B">
        <w:rPr>
          <w:rFonts w:ascii="Arial" w:hAnsi="Arial" w:cs="Arial"/>
          <w:sz w:val="20"/>
          <w:szCs w:val="20"/>
        </w:rPr>
        <w:t>irectly from retailers/operators in</w:t>
      </w:r>
      <w:r>
        <w:rPr>
          <w:rFonts w:ascii="Arial" w:hAnsi="Arial" w:cs="Arial"/>
          <w:sz w:val="20"/>
          <w:szCs w:val="20"/>
        </w:rPr>
        <w:t xml:space="preserve"> </w:t>
      </w:r>
      <w:r w:rsidRPr="003E204B">
        <w:rPr>
          <w:rFonts w:ascii="Arial" w:hAnsi="Arial" w:cs="Arial"/>
          <w:sz w:val="20"/>
          <w:szCs w:val="20"/>
        </w:rPr>
        <w:t>partnership with The Grocer, Forecourt Trader and</w:t>
      </w:r>
      <w:r>
        <w:rPr>
          <w:rFonts w:ascii="Arial" w:hAnsi="Arial" w:cs="Arial"/>
          <w:sz w:val="20"/>
          <w:szCs w:val="20"/>
        </w:rPr>
        <w:t xml:space="preserve"> </w:t>
      </w:r>
      <w:r w:rsidRPr="003E204B">
        <w:rPr>
          <w:rFonts w:ascii="Arial" w:hAnsi="Arial" w:cs="Arial"/>
          <w:sz w:val="20"/>
          <w:szCs w:val="20"/>
        </w:rPr>
        <w:t>Conveniencestore.co.uk.</w:t>
      </w:r>
    </w:p>
    <w:p w14:paraId="257CE624" w14:textId="77777777" w:rsidR="00746C84" w:rsidRDefault="00746C84" w:rsidP="00746C84">
      <w:pPr>
        <w:pStyle w:val="ListParagraph"/>
        <w:numPr>
          <w:ilvl w:val="0"/>
          <w:numId w:val="5"/>
        </w:numPr>
        <w:rPr>
          <w:rFonts w:ascii="Arial" w:hAnsi="Arial" w:cs="Arial"/>
          <w:sz w:val="20"/>
          <w:szCs w:val="20"/>
        </w:rPr>
      </w:pPr>
      <w:r w:rsidRPr="003E204B">
        <w:rPr>
          <w:rFonts w:ascii="Arial" w:hAnsi="Arial" w:cs="Arial"/>
          <w:sz w:val="20"/>
          <w:szCs w:val="20"/>
        </w:rPr>
        <w:t>Forecourt figures provided by Experian Catalyst</w:t>
      </w:r>
    </w:p>
    <w:p w14:paraId="4395B29E" w14:textId="77777777" w:rsidR="00746C84" w:rsidRDefault="00746C84" w:rsidP="00746C84">
      <w:pPr>
        <w:pStyle w:val="ListParagraph"/>
        <w:numPr>
          <w:ilvl w:val="0"/>
          <w:numId w:val="5"/>
        </w:numPr>
        <w:rPr>
          <w:rFonts w:ascii="Arial" w:hAnsi="Arial" w:cs="Arial"/>
          <w:sz w:val="20"/>
          <w:szCs w:val="20"/>
        </w:rPr>
      </w:pPr>
      <w:r w:rsidRPr="003E204B">
        <w:rPr>
          <w:rFonts w:ascii="Arial" w:hAnsi="Arial" w:cs="Arial"/>
          <w:sz w:val="20"/>
          <w:szCs w:val="20"/>
        </w:rPr>
        <w:t>Turnover estimates based on reported sales taken</w:t>
      </w:r>
      <w:r>
        <w:rPr>
          <w:rFonts w:ascii="Arial" w:hAnsi="Arial" w:cs="Arial"/>
          <w:sz w:val="20"/>
          <w:szCs w:val="20"/>
        </w:rPr>
        <w:t xml:space="preserve"> </w:t>
      </w:r>
      <w:r w:rsidRPr="003E204B">
        <w:rPr>
          <w:rFonts w:ascii="Arial" w:hAnsi="Arial" w:cs="Arial"/>
          <w:sz w:val="20"/>
          <w:szCs w:val="20"/>
        </w:rPr>
        <w:t>from annual company reports where available.</w:t>
      </w:r>
    </w:p>
    <w:p w14:paraId="60F2326F" w14:textId="77777777" w:rsidR="00746C84" w:rsidRPr="003E204B" w:rsidRDefault="00746C84" w:rsidP="00746C84">
      <w:pPr>
        <w:pStyle w:val="ListParagraph"/>
        <w:numPr>
          <w:ilvl w:val="0"/>
          <w:numId w:val="5"/>
        </w:numPr>
        <w:rPr>
          <w:rFonts w:ascii="Arial" w:hAnsi="Arial" w:cs="Arial"/>
          <w:sz w:val="20"/>
          <w:szCs w:val="20"/>
        </w:rPr>
      </w:pPr>
      <w:r w:rsidRPr="003E204B">
        <w:rPr>
          <w:rFonts w:ascii="Arial" w:hAnsi="Arial" w:cs="Arial"/>
          <w:sz w:val="20"/>
          <w:szCs w:val="20"/>
        </w:rPr>
        <w:t>Independent retailers’ average weekly sale</w:t>
      </w:r>
      <w:r>
        <w:rPr>
          <w:rFonts w:ascii="Arial" w:hAnsi="Arial" w:cs="Arial"/>
          <w:sz w:val="20"/>
          <w:szCs w:val="20"/>
        </w:rPr>
        <w:t xml:space="preserve">s </w:t>
      </w:r>
      <w:r w:rsidRPr="003E204B">
        <w:rPr>
          <w:rFonts w:ascii="Arial" w:hAnsi="Arial" w:cs="Arial"/>
          <w:sz w:val="20"/>
          <w:szCs w:val="20"/>
        </w:rPr>
        <w:t>estimated through competitor benchmarks,</w:t>
      </w:r>
      <w:r>
        <w:rPr>
          <w:rFonts w:ascii="Arial" w:hAnsi="Arial" w:cs="Arial"/>
          <w:sz w:val="20"/>
          <w:szCs w:val="20"/>
        </w:rPr>
        <w:t xml:space="preserve"> </w:t>
      </w:r>
      <w:r w:rsidRPr="003E204B">
        <w:rPr>
          <w:rFonts w:ascii="Arial" w:hAnsi="Arial" w:cs="Arial"/>
          <w:sz w:val="20"/>
          <w:szCs w:val="20"/>
        </w:rPr>
        <w:t>location strategy, average store size, proposition</w:t>
      </w:r>
      <w:r>
        <w:rPr>
          <w:rFonts w:ascii="Arial" w:hAnsi="Arial" w:cs="Arial"/>
          <w:sz w:val="20"/>
          <w:szCs w:val="20"/>
        </w:rPr>
        <w:t xml:space="preserve"> </w:t>
      </w:r>
      <w:r w:rsidRPr="003E204B">
        <w:rPr>
          <w:rFonts w:ascii="Arial" w:hAnsi="Arial" w:cs="Arial"/>
          <w:sz w:val="20"/>
          <w:szCs w:val="20"/>
        </w:rPr>
        <w:t>make-up/focus (e.g. focus on fresh &amp; chilled) and</w:t>
      </w:r>
      <w:r>
        <w:rPr>
          <w:rFonts w:ascii="Arial" w:hAnsi="Arial" w:cs="Arial"/>
          <w:sz w:val="20"/>
          <w:szCs w:val="20"/>
        </w:rPr>
        <w:t xml:space="preserve"> </w:t>
      </w:r>
      <w:r w:rsidRPr="003E204B">
        <w:rPr>
          <w:rFonts w:ascii="Arial" w:hAnsi="Arial" w:cs="Arial"/>
          <w:sz w:val="20"/>
          <w:szCs w:val="20"/>
        </w:rPr>
        <w:t>market positionings</w:t>
      </w:r>
    </w:p>
    <w:p w14:paraId="4CEA97D8" w14:textId="20BCD1B7" w:rsidR="00ED3ABD" w:rsidRPr="00E362CA" w:rsidRDefault="00ED3ABD" w:rsidP="004D2785">
      <w:pPr>
        <w:rPr>
          <w:rFonts w:ascii="Arial" w:hAnsi="Arial" w:cs="Arial"/>
          <w:b/>
          <w:bCs/>
          <w:sz w:val="20"/>
          <w:szCs w:val="20"/>
        </w:rPr>
      </w:pPr>
      <w:r w:rsidRPr="00E362CA">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FD3799" w:rsidP="001249C3">
      <w:pPr>
        <w:rPr>
          <w:rFonts w:ascii="Arial" w:hAnsi="Arial" w:cs="Arial"/>
          <w:sz w:val="20"/>
          <w:szCs w:val="20"/>
        </w:rPr>
      </w:pPr>
      <w:hyperlink r:id="rId9"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145C9"/>
    <w:multiLevelType w:val="hybridMultilevel"/>
    <w:tmpl w:val="C6E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7345C"/>
    <w:multiLevelType w:val="hybridMultilevel"/>
    <w:tmpl w:val="BE14A9B4"/>
    <w:lvl w:ilvl="0" w:tplc="EDE027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53443"/>
    <w:multiLevelType w:val="hybridMultilevel"/>
    <w:tmpl w:val="722E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526C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BD62CA"/>
    <w:multiLevelType w:val="hybridMultilevel"/>
    <w:tmpl w:val="396A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B1601"/>
    <w:multiLevelType w:val="hybridMultilevel"/>
    <w:tmpl w:val="A536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1D330E"/>
    <w:multiLevelType w:val="hybridMultilevel"/>
    <w:tmpl w:val="AA4A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8E09E3"/>
    <w:multiLevelType w:val="hybridMultilevel"/>
    <w:tmpl w:val="E51C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5"/>
  </w:num>
  <w:num w:numId="5">
    <w:abstractNumId w:val="3"/>
  </w:num>
  <w:num w:numId="6">
    <w:abstractNumId w:val="6"/>
  </w:num>
  <w:num w:numId="7">
    <w:abstractNumId w:val="0"/>
  </w:num>
  <w:num w:numId="8">
    <w:abstractNumId w:val="11"/>
  </w:num>
  <w:num w:numId="9">
    <w:abstractNumId w:val="2"/>
  </w:num>
  <w:num w:numId="10">
    <w:abstractNumId w:val="1"/>
  </w:num>
  <w:num w:numId="11">
    <w:abstractNumId w:val="1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1072"/>
    <w:rsid w:val="000540D1"/>
    <w:rsid w:val="00072404"/>
    <w:rsid w:val="000A4322"/>
    <w:rsid w:val="000C14C9"/>
    <w:rsid w:val="000F1972"/>
    <w:rsid w:val="00113451"/>
    <w:rsid w:val="00116246"/>
    <w:rsid w:val="001249C3"/>
    <w:rsid w:val="0017594D"/>
    <w:rsid w:val="001B2875"/>
    <w:rsid w:val="001C257C"/>
    <w:rsid w:val="001C2E4F"/>
    <w:rsid w:val="001C50C1"/>
    <w:rsid w:val="001C589F"/>
    <w:rsid w:val="001C5B98"/>
    <w:rsid w:val="001C65B6"/>
    <w:rsid w:val="00214D95"/>
    <w:rsid w:val="00217EE3"/>
    <w:rsid w:val="00261F91"/>
    <w:rsid w:val="002723AE"/>
    <w:rsid w:val="00285BD0"/>
    <w:rsid w:val="002A0F0F"/>
    <w:rsid w:val="002A1E6A"/>
    <w:rsid w:val="002F0BB4"/>
    <w:rsid w:val="002F7EAF"/>
    <w:rsid w:val="00302E10"/>
    <w:rsid w:val="003069D8"/>
    <w:rsid w:val="00332724"/>
    <w:rsid w:val="00344AA0"/>
    <w:rsid w:val="00363346"/>
    <w:rsid w:val="00381861"/>
    <w:rsid w:val="003C4BB2"/>
    <w:rsid w:val="003E204B"/>
    <w:rsid w:val="003E4324"/>
    <w:rsid w:val="003F621E"/>
    <w:rsid w:val="003F71CD"/>
    <w:rsid w:val="00407BDB"/>
    <w:rsid w:val="0044412F"/>
    <w:rsid w:val="00471332"/>
    <w:rsid w:val="00493A4C"/>
    <w:rsid w:val="004B3902"/>
    <w:rsid w:val="004D23F6"/>
    <w:rsid w:val="004D2785"/>
    <w:rsid w:val="004E551E"/>
    <w:rsid w:val="004F1FF8"/>
    <w:rsid w:val="004F62D9"/>
    <w:rsid w:val="00511B5A"/>
    <w:rsid w:val="00550B08"/>
    <w:rsid w:val="0055150D"/>
    <w:rsid w:val="00553497"/>
    <w:rsid w:val="00566CAE"/>
    <w:rsid w:val="005B7B3F"/>
    <w:rsid w:val="005C0F44"/>
    <w:rsid w:val="005E7052"/>
    <w:rsid w:val="00604B4A"/>
    <w:rsid w:val="0064548D"/>
    <w:rsid w:val="0064772D"/>
    <w:rsid w:val="00664850"/>
    <w:rsid w:val="006B7F83"/>
    <w:rsid w:val="006D1829"/>
    <w:rsid w:val="006E735F"/>
    <w:rsid w:val="006E79FF"/>
    <w:rsid w:val="0070129C"/>
    <w:rsid w:val="00720ABB"/>
    <w:rsid w:val="007221DF"/>
    <w:rsid w:val="007229E3"/>
    <w:rsid w:val="007446FD"/>
    <w:rsid w:val="00746C84"/>
    <w:rsid w:val="00755025"/>
    <w:rsid w:val="0076037A"/>
    <w:rsid w:val="0076735A"/>
    <w:rsid w:val="00770FD9"/>
    <w:rsid w:val="007716CF"/>
    <w:rsid w:val="007B4F7A"/>
    <w:rsid w:val="007F3C85"/>
    <w:rsid w:val="008249B4"/>
    <w:rsid w:val="008276B8"/>
    <w:rsid w:val="00846DDB"/>
    <w:rsid w:val="00862CCB"/>
    <w:rsid w:val="008852CE"/>
    <w:rsid w:val="008A46AD"/>
    <w:rsid w:val="008D4655"/>
    <w:rsid w:val="008E317A"/>
    <w:rsid w:val="008E5A63"/>
    <w:rsid w:val="00906A89"/>
    <w:rsid w:val="00926BFA"/>
    <w:rsid w:val="0094762B"/>
    <w:rsid w:val="00976FE8"/>
    <w:rsid w:val="009A17EF"/>
    <w:rsid w:val="009A40F2"/>
    <w:rsid w:val="009A6775"/>
    <w:rsid w:val="009C613A"/>
    <w:rsid w:val="009C697C"/>
    <w:rsid w:val="009D1543"/>
    <w:rsid w:val="009D7AE0"/>
    <w:rsid w:val="00A60803"/>
    <w:rsid w:val="00A95E5C"/>
    <w:rsid w:val="00AA3F19"/>
    <w:rsid w:val="00AB3399"/>
    <w:rsid w:val="00AD236E"/>
    <w:rsid w:val="00AE6B2F"/>
    <w:rsid w:val="00B03B5B"/>
    <w:rsid w:val="00B06987"/>
    <w:rsid w:val="00B06B5C"/>
    <w:rsid w:val="00B414CE"/>
    <w:rsid w:val="00B41A43"/>
    <w:rsid w:val="00B46E6F"/>
    <w:rsid w:val="00B94AC2"/>
    <w:rsid w:val="00BA596C"/>
    <w:rsid w:val="00BB4747"/>
    <w:rsid w:val="00BC0036"/>
    <w:rsid w:val="00BE00D3"/>
    <w:rsid w:val="00BF4DC8"/>
    <w:rsid w:val="00C04D48"/>
    <w:rsid w:val="00C16ADB"/>
    <w:rsid w:val="00C270FD"/>
    <w:rsid w:val="00C273A6"/>
    <w:rsid w:val="00C30C1F"/>
    <w:rsid w:val="00C3505B"/>
    <w:rsid w:val="00C545F0"/>
    <w:rsid w:val="00C77C17"/>
    <w:rsid w:val="00C86028"/>
    <w:rsid w:val="00CB101B"/>
    <w:rsid w:val="00CE6B8A"/>
    <w:rsid w:val="00D25202"/>
    <w:rsid w:val="00D30793"/>
    <w:rsid w:val="00D308D1"/>
    <w:rsid w:val="00D3358F"/>
    <w:rsid w:val="00D36AF3"/>
    <w:rsid w:val="00D55DD3"/>
    <w:rsid w:val="00D7168C"/>
    <w:rsid w:val="00D81C35"/>
    <w:rsid w:val="00DA3FA1"/>
    <w:rsid w:val="00DB2AFC"/>
    <w:rsid w:val="00DD6F17"/>
    <w:rsid w:val="00E214AC"/>
    <w:rsid w:val="00E362CA"/>
    <w:rsid w:val="00E56A95"/>
    <w:rsid w:val="00E6199F"/>
    <w:rsid w:val="00E72427"/>
    <w:rsid w:val="00E734FF"/>
    <w:rsid w:val="00EA1B39"/>
    <w:rsid w:val="00EC455C"/>
    <w:rsid w:val="00ED0369"/>
    <w:rsid w:val="00ED2C5E"/>
    <w:rsid w:val="00ED3ABD"/>
    <w:rsid w:val="00EE59D7"/>
    <w:rsid w:val="00F16921"/>
    <w:rsid w:val="00F16CB5"/>
    <w:rsid w:val="00F30CBB"/>
    <w:rsid w:val="00F43C71"/>
    <w:rsid w:val="00FB7D7E"/>
    <w:rsid w:val="00FC1A9F"/>
    <w:rsid w:val="00FD3799"/>
    <w:rsid w:val="00FF6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total-retail-market-reports/grocery-data-index-2021/" TargetMode="External"/><Relationship Id="rId3" Type="http://schemas.openxmlformats.org/officeDocument/2006/relationships/styles" Target="styles.xml"/><Relationship Id="rId7" Type="http://schemas.openxmlformats.org/officeDocument/2006/relationships/hyperlink" Target="mailto:Giorgio.rigali@lumina-intelligenc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FA8B6-6463-4BF8-9AF0-E5B317BB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3</cp:revision>
  <dcterms:created xsi:type="dcterms:W3CDTF">2021-05-11T14:12:00Z</dcterms:created>
  <dcterms:modified xsi:type="dcterms:W3CDTF">2021-05-14T09:47:00Z</dcterms:modified>
</cp:coreProperties>
</file>