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5630AB"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7976EDD2" w:rsidR="00ED3ABD" w:rsidRPr="00550B08" w:rsidRDefault="00C90D11"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1</w:t>
      </w:r>
      <w:r w:rsidR="005630AB">
        <w:rPr>
          <w:rStyle w:val="Hyperlink"/>
          <w:rFonts w:ascii="Arial" w:hAnsi="Arial" w:cs="Arial"/>
          <w:b/>
          <w:bCs/>
          <w:color w:val="505050"/>
          <w:sz w:val="18"/>
          <w:szCs w:val="18"/>
          <w:u w:val="none"/>
        </w:rPr>
        <w:t>7</w:t>
      </w:r>
      <w:r w:rsidR="004D23F6">
        <w:rPr>
          <w:rStyle w:val="Hyperlink"/>
          <w:rFonts w:ascii="Arial" w:hAnsi="Arial" w:cs="Arial"/>
          <w:b/>
          <w:bCs/>
          <w:color w:val="505050"/>
          <w:sz w:val="18"/>
          <w:szCs w:val="18"/>
          <w:u w:val="none"/>
        </w:rPr>
        <w:t xml:space="preserve"> </w:t>
      </w:r>
      <w:r w:rsidR="00420DAF">
        <w:rPr>
          <w:rStyle w:val="Hyperlink"/>
          <w:rFonts w:ascii="Arial" w:hAnsi="Arial" w:cs="Arial"/>
          <w:b/>
          <w:bCs/>
          <w:color w:val="505050"/>
          <w:sz w:val="18"/>
          <w:szCs w:val="18"/>
          <w:u w:val="none"/>
        </w:rPr>
        <w:t>Ma</w:t>
      </w:r>
      <w:r>
        <w:rPr>
          <w:rStyle w:val="Hyperlink"/>
          <w:rFonts w:ascii="Arial" w:hAnsi="Arial" w:cs="Arial"/>
          <w:b/>
          <w:bCs/>
          <w:color w:val="505050"/>
          <w:sz w:val="18"/>
          <w:szCs w:val="18"/>
          <w:u w:val="none"/>
        </w:rPr>
        <w:t>y</w:t>
      </w:r>
      <w:r w:rsidR="003C4BB2" w:rsidRPr="00550B08">
        <w:rPr>
          <w:rStyle w:val="Hyperlink"/>
          <w:rFonts w:ascii="Arial" w:hAnsi="Arial" w:cs="Arial"/>
          <w:b/>
          <w:bCs/>
          <w:color w:val="505050"/>
          <w:sz w:val="18"/>
          <w:szCs w:val="18"/>
          <w:u w:val="none"/>
        </w:rPr>
        <w:t xml:space="preserve"> 202</w:t>
      </w:r>
      <w:r w:rsidR="00420DAF">
        <w:rPr>
          <w:rStyle w:val="Hyperlink"/>
          <w:rFonts w:ascii="Arial" w:hAnsi="Arial" w:cs="Arial"/>
          <w:b/>
          <w:bCs/>
          <w:color w:val="505050"/>
          <w:sz w:val="18"/>
          <w:szCs w:val="18"/>
          <w:u w:val="none"/>
        </w:rPr>
        <w:t>1</w:t>
      </w:r>
    </w:p>
    <w:p w14:paraId="04302EA3" w14:textId="77777777" w:rsidR="0055150D" w:rsidRDefault="0055150D" w:rsidP="00C545F0">
      <w:pPr>
        <w:jc w:val="center"/>
        <w:rPr>
          <w:rFonts w:ascii="Arial" w:hAnsi="Arial" w:cs="Arial"/>
          <w:b/>
          <w:bCs/>
          <w:sz w:val="32"/>
          <w:szCs w:val="32"/>
        </w:rPr>
      </w:pPr>
    </w:p>
    <w:p w14:paraId="26DAE53C" w14:textId="39CE1758" w:rsidR="0055150D" w:rsidRDefault="00C90D11" w:rsidP="00D31B4F">
      <w:pPr>
        <w:jc w:val="center"/>
        <w:rPr>
          <w:rFonts w:ascii="Arial" w:hAnsi="Arial" w:cs="Arial"/>
          <w:b/>
          <w:bCs/>
          <w:sz w:val="32"/>
          <w:szCs w:val="32"/>
        </w:rPr>
      </w:pPr>
      <w:r>
        <w:rPr>
          <w:rFonts w:ascii="Arial" w:hAnsi="Arial" w:cs="Arial"/>
          <w:b/>
          <w:bCs/>
          <w:sz w:val="32"/>
          <w:szCs w:val="32"/>
        </w:rPr>
        <w:t xml:space="preserve">Increased visit frequency drives higher </w:t>
      </w:r>
      <w:r w:rsidR="00A16619">
        <w:rPr>
          <w:rFonts w:ascii="Arial" w:hAnsi="Arial" w:cs="Arial"/>
          <w:b/>
          <w:bCs/>
          <w:sz w:val="32"/>
          <w:szCs w:val="32"/>
        </w:rPr>
        <w:t>weekly shopper value</w:t>
      </w:r>
      <w:r>
        <w:rPr>
          <w:rFonts w:ascii="Arial" w:hAnsi="Arial" w:cs="Arial"/>
          <w:b/>
          <w:bCs/>
          <w:sz w:val="32"/>
          <w:szCs w:val="32"/>
        </w:rPr>
        <w:t xml:space="preserve"> within convenience in </w:t>
      </w:r>
      <w:r w:rsidR="001818CF">
        <w:rPr>
          <w:rFonts w:ascii="Arial" w:hAnsi="Arial" w:cs="Arial"/>
          <w:b/>
          <w:bCs/>
          <w:sz w:val="32"/>
          <w:szCs w:val="32"/>
        </w:rPr>
        <w:t>April</w:t>
      </w:r>
    </w:p>
    <w:p w14:paraId="3C891F12" w14:textId="77777777" w:rsidR="00D31B4F" w:rsidRPr="00D31B4F" w:rsidRDefault="00D31B4F" w:rsidP="00D31B4F">
      <w:pPr>
        <w:jc w:val="center"/>
        <w:rPr>
          <w:rFonts w:ascii="Arial" w:hAnsi="Arial" w:cs="Arial"/>
          <w:b/>
          <w:bCs/>
          <w:sz w:val="32"/>
          <w:szCs w:val="32"/>
        </w:rPr>
      </w:pPr>
    </w:p>
    <w:p w14:paraId="2CB148EE" w14:textId="2F030580" w:rsidR="0064731C" w:rsidRDefault="00420DAF" w:rsidP="008E5A63">
      <w:pPr>
        <w:rPr>
          <w:rFonts w:ascii="Arial" w:hAnsi="Arial" w:cs="Arial"/>
          <w:b/>
          <w:bCs/>
          <w:sz w:val="20"/>
          <w:szCs w:val="20"/>
        </w:rPr>
      </w:pPr>
      <w:r>
        <w:rPr>
          <w:rFonts w:ascii="Arial" w:hAnsi="Arial" w:cs="Arial"/>
          <w:b/>
          <w:bCs/>
          <w:sz w:val="20"/>
          <w:szCs w:val="20"/>
        </w:rPr>
        <w:t xml:space="preserve">According to the latest insight from Lumina Intelligence’s Convenience Tracking Programme, compared to the 4WE </w:t>
      </w:r>
      <w:r w:rsidR="00C90D11">
        <w:rPr>
          <w:rFonts w:ascii="Arial" w:hAnsi="Arial" w:cs="Arial"/>
          <w:b/>
          <w:bCs/>
          <w:sz w:val="20"/>
          <w:szCs w:val="20"/>
        </w:rPr>
        <w:t>04</w:t>
      </w:r>
      <w:r w:rsidR="00CB611A">
        <w:rPr>
          <w:rFonts w:ascii="Arial" w:hAnsi="Arial" w:cs="Arial"/>
          <w:b/>
          <w:bCs/>
          <w:sz w:val="20"/>
          <w:szCs w:val="20"/>
        </w:rPr>
        <w:t>/</w:t>
      </w:r>
      <w:r w:rsidR="00C90D11">
        <w:rPr>
          <w:rFonts w:ascii="Arial" w:hAnsi="Arial" w:cs="Arial"/>
          <w:b/>
          <w:bCs/>
          <w:sz w:val="20"/>
          <w:szCs w:val="20"/>
        </w:rPr>
        <w:t>04</w:t>
      </w:r>
      <w:r>
        <w:rPr>
          <w:rFonts w:ascii="Arial" w:hAnsi="Arial" w:cs="Arial"/>
          <w:b/>
          <w:bCs/>
          <w:sz w:val="20"/>
          <w:szCs w:val="20"/>
        </w:rPr>
        <w:t>, the UK convenience retail channel</w:t>
      </w:r>
      <w:r w:rsidR="0064731C">
        <w:rPr>
          <w:rFonts w:ascii="Arial" w:hAnsi="Arial" w:cs="Arial"/>
          <w:b/>
          <w:bCs/>
          <w:sz w:val="20"/>
          <w:szCs w:val="20"/>
        </w:rPr>
        <w:t xml:space="preserve"> has seen growth in average shopper visit frequency</w:t>
      </w:r>
      <w:r w:rsidR="00C90D11">
        <w:rPr>
          <w:rFonts w:ascii="Arial" w:hAnsi="Arial" w:cs="Arial"/>
          <w:b/>
          <w:bCs/>
          <w:sz w:val="20"/>
          <w:szCs w:val="20"/>
        </w:rPr>
        <w:t xml:space="preserve"> and </w:t>
      </w:r>
      <w:r w:rsidR="0064731C">
        <w:rPr>
          <w:rFonts w:ascii="Arial" w:hAnsi="Arial" w:cs="Arial"/>
          <w:b/>
          <w:bCs/>
          <w:sz w:val="20"/>
          <w:szCs w:val="20"/>
        </w:rPr>
        <w:t>average</w:t>
      </w:r>
      <w:r w:rsidR="00A16619">
        <w:rPr>
          <w:rFonts w:ascii="Arial" w:hAnsi="Arial" w:cs="Arial"/>
          <w:b/>
          <w:bCs/>
          <w:sz w:val="20"/>
          <w:szCs w:val="20"/>
        </w:rPr>
        <w:t xml:space="preserve"> weekly shopper value</w:t>
      </w:r>
      <w:r w:rsidR="00C90D11">
        <w:rPr>
          <w:rFonts w:ascii="Arial" w:hAnsi="Arial" w:cs="Arial"/>
          <w:b/>
          <w:bCs/>
          <w:sz w:val="20"/>
          <w:szCs w:val="20"/>
        </w:rPr>
        <w:t xml:space="preserve">. In contrast, </w:t>
      </w:r>
      <w:r w:rsidR="0064731C">
        <w:rPr>
          <w:rFonts w:ascii="Arial" w:hAnsi="Arial" w:cs="Arial"/>
          <w:b/>
          <w:bCs/>
          <w:sz w:val="20"/>
          <w:szCs w:val="20"/>
        </w:rPr>
        <w:t>average basket size</w:t>
      </w:r>
      <w:r w:rsidR="00C90D11">
        <w:rPr>
          <w:rFonts w:ascii="Arial" w:hAnsi="Arial" w:cs="Arial"/>
          <w:b/>
          <w:bCs/>
          <w:sz w:val="20"/>
          <w:szCs w:val="20"/>
        </w:rPr>
        <w:t xml:space="preserve"> has fallen slightly</w:t>
      </w:r>
      <w:r w:rsidR="00BA628B">
        <w:rPr>
          <w:rFonts w:ascii="Arial" w:hAnsi="Arial" w:cs="Arial"/>
          <w:b/>
          <w:bCs/>
          <w:sz w:val="20"/>
          <w:szCs w:val="20"/>
        </w:rPr>
        <w:t>.</w:t>
      </w:r>
    </w:p>
    <w:p w14:paraId="089CD72F" w14:textId="49C54D09" w:rsidR="00C90D11" w:rsidRDefault="0064731C" w:rsidP="008E5A63">
      <w:pPr>
        <w:rPr>
          <w:rFonts w:ascii="Arial" w:hAnsi="Arial" w:cs="Arial"/>
          <w:sz w:val="20"/>
          <w:szCs w:val="20"/>
        </w:rPr>
      </w:pPr>
      <w:r w:rsidRPr="0064731C">
        <w:rPr>
          <w:rFonts w:ascii="Arial" w:hAnsi="Arial" w:cs="Arial"/>
          <w:sz w:val="20"/>
          <w:szCs w:val="20"/>
        </w:rPr>
        <w:t>I</w:t>
      </w:r>
      <w:r w:rsidR="00420DAF" w:rsidRPr="0064731C">
        <w:rPr>
          <w:rFonts w:ascii="Arial" w:hAnsi="Arial" w:cs="Arial"/>
          <w:sz w:val="20"/>
          <w:szCs w:val="20"/>
        </w:rPr>
        <w:t>n the 4</w:t>
      </w:r>
      <w:r w:rsidRPr="0064731C">
        <w:rPr>
          <w:rFonts w:ascii="Arial" w:hAnsi="Arial" w:cs="Arial"/>
          <w:sz w:val="20"/>
          <w:szCs w:val="20"/>
        </w:rPr>
        <w:t>WE</w:t>
      </w:r>
      <w:r w:rsidR="00420DAF" w:rsidRPr="0064731C">
        <w:rPr>
          <w:rFonts w:ascii="Arial" w:hAnsi="Arial" w:cs="Arial"/>
          <w:sz w:val="20"/>
          <w:szCs w:val="20"/>
        </w:rPr>
        <w:t xml:space="preserve"> 02</w:t>
      </w:r>
      <w:r w:rsidR="00C90D11">
        <w:rPr>
          <w:rFonts w:ascii="Arial" w:hAnsi="Arial" w:cs="Arial"/>
          <w:sz w:val="20"/>
          <w:szCs w:val="20"/>
        </w:rPr>
        <w:t>/05</w:t>
      </w:r>
      <w:r w:rsidR="00420DAF" w:rsidRPr="0064731C">
        <w:rPr>
          <w:rFonts w:ascii="Arial" w:hAnsi="Arial" w:cs="Arial"/>
          <w:sz w:val="20"/>
          <w:szCs w:val="20"/>
        </w:rPr>
        <w:t xml:space="preserve">, average </w:t>
      </w:r>
      <w:r w:rsidR="00C90D11">
        <w:rPr>
          <w:rFonts w:ascii="Arial" w:hAnsi="Arial" w:cs="Arial"/>
          <w:sz w:val="20"/>
          <w:szCs w:val="20"/>
        </w:rPr>
        <w:t xml:space="preserve">visit frequency to a convenience store was 2.6 times per week (+8%), average </w:t>
      </w:r>
      <w:r w:rsidR="00A16619">
        <w:rPr>
          <w:rFonts w:ascii="Arial" w:hAnsi="Arial" w:cs="Arial"/>
          <w:sz w:val="20"/>
          <w:szCs w:val="20"/>
        </w:rPr>
        <w:t>weekly shopper value</w:t>
      </w:r>
      <w:r w:rsidR="00C90D11">
        <w:rPr>
          <w:rFonts w:ascii="Arial" w:hAnsi="Arial" w:cs="Arial"/>
          <w:sz w:val="20"/>
          <w:szCs w:val="20"/>
        </w:rPr>
        <w:t xml:space="preserve"> was £29.09 (+4%) and average basket size was </w:t>
      </w:r>
      <w:r w:rsidR="007A6F78">
        <w:rPr>
          <w:rFonts w:ascii="Arial" w:hAnsi="Arial" w:cs="Arial"/>
          <w:sz w:val="20"/>
          <w:szCs w:val="20"/>
        </w:rPr>
        <w:t>3.3 items (-3%).</w:t>
      </w:r>
    </w:p>
    <w:p w14:paraId="1DC51E7D" w14:textId="131FB142" w:rsidR="007A6F78" w:rsidRDefault="00CB611A" w:rsidP="00EA1B39">
      <w:pPr>
        <w:rPr>
          <w:rFonts w:ascii="Arial" w:hAnsi="Arial" w:cs="Arial"/>
          <w:sz w:val="20"/>
          <w:szCs w:val="20"/>
        </w:rPr>
      </w:pPr>
      <w:r>
        <w:rPr>
          <w:rFonts w:ascii="Arial" w:hAnsi="Arial" w:cs="Arial"/>
          <w:sz w:val="20"/>
          <w:szCs w:val="20"/>
        </w:rPr>
        <w:t xml:space="preserve">Planned top-up remains the number one mission driving shoppers to convenience stores, </w:t>
      </w:r>
      <w:r w:rsidR="007A6F78">
        <w:rPr>
          <w:rFonts w:ascii="Arial" w:hAnsi="Arial" w:cs="Arial"/>
          <w:sz w:val="20"/>
          <w:szCs w:val="20"/>
        </w:rPr>
        <w:t>however its share of visits has fallen -</w:t>
      </w:r>
      <w:r w:rsidR="00A16619">
        <w:rPr>
          <w:rFonts w:ascii="Arial" w:hAnsi="Arial" w:cs="Arial"/>
          <w:sz w:val="20"/>
          <w:szCs w:val="20"/>
        </w:rPr>
        <w:t>2</w:t>
      </w:r>
      <w:r w:rsidR="007A6F78">
        <w:rPr>
          <w:rFonts w:ascii="Arial" w:hAnsi="Arial" w:cs="Arial"/>
          <w:sz w:val="20"/>
          <w:szCs w:val="20"/>
        </w:rPr>
        <w:t>.7pp</w:t>
      </w:r>
      <w:r w:rsidR="00684B17">
        <w:rPr>
          <w:rFonts w:ascii="Arial" w:hAnsi="Arial" w:cs="Arial"/>
          <w:sz w:val="20"/>
          <w:szCs w:val="20"/>
        </w:rPr>
        <w:t>ts</w:t>
      </w:r>
      <w:r w:rsidR="007A6F78">
        <w:rPr>
          <w:rFonts w:ascii="Arial" w:hAnsi="Arial" w:cs="Arial"/>
          <w:sz w:val="20"/>
          <w:szCs w:val="20"/>
        </w:rPr>
        <w:t xml:space="preserve"> to 29.2% during 4WE 02/05. This change has been driven by an increase in shoppers on a food to go mission, +2.1pp</w:t>
      </w:r>
      <w:r w:rsidR="00684B17">
        <w:rPr>
          <w:rFonts w:ascii="Arial" w:hAnsi="Arial" w:cs="Arial"/>
          <w:sz w:val="20"/>
          <w:szCs w:val="20"/>
        </w:rPr>
        <w:t>ts</w:t>
      </w:r>
      <w:r w:rsidR="007A6F78">
        <w:rPr>
          <w:rFonts w:ascii="Arial" w:hAnsi="Arial" w:cs="Arial"/>
          <w:sz w:val="20"/>
          <w:szCs w:val="20"/>
        </w:rPr>
        <w:t xml:space="preserve"> to 12.6%.</w:t>
      </w:r>
    </w:p>
    <w:p w14:paraId="73844F06" w14:textId="61A29D1E" w:rsidR="007A6F78" w:rsidRDefault="007A6F78" w:rsidP="00EA1B39">
      <w:pPr>
        <w:rPr>
          <w:rFonts w:ascii="Arial" w:hAnsi="Arial" w:cs="Arial"/>
          <w:sz w:val="20"/>
          <w:szCs w:val="20"/>
        </w:rPr>
      </w:pPr>
      <w:r>
        <w:rPr>
          <w:rFonts w:ascii="Arial" w:hAnsi="Arial" w:cs="Arial"/>
          <w:sz w:val="20"/>
          <w:szCs w:val="20"/>
        </w:rPr>
        <w:t>The data also indicates an increase in the proportion of shopper using delivery and click and collect services.</w:t>
      </w:r>
      <w:r w:rsidR="00684B17">
        <w:rPr>
          <w:rFonts w:ascii="Arial" w:hAnsi="Arial" w:cs="Arial"/>
          <w:sz w:val="20"/>
          <w:szCs w:val="20"/>
        </w:rPr>
        <w:t xml:space="preserve"> The proportion of convenience store shoppers using delivery services increased +40% to 4.5% in the 4WE 02/05 and for click and collect there was an increase of 8% to 1.1%.</w:t>
      </w:r>
    </w:p>
    <w:p w14:paraId="5C10EBB0" w14:textId="749262DC" w:rsidR="00001A90" w:rsidRDefault="00CB611A" w:rsidP="00CB611A">
      <w:pPr>
        <w:rPr>
          <w:rFonts w:ascii="Arial" w:hAnsi="Arial" w:cs="Arial"/>
          <w:sz w:val="20"/>
          <w:szCs w:val="20"/>
        </w:rPr>
      </w:pPr>
      <w:r>
        <w:rPr>
          <w:rFonts w:ascii="Arial" w:hAnsi="Arial" w:cs="Arial"/>
          <w:sz w:val="20"/>
          <w:szCs w:val="20"/>
        </w:rPr>
        <w:t xml:space="preserve">The proportion of convenience store </w:t>
      </w:r>
      <w:r w:rsidR="00684B17">
        <w:rPr>
          <w:rFonts w:ascii="Arial" w:hAnsi="Arial" w:cs="Arial"/>
          <w:sz w:val="20"/>
          <w:szCs w:val="20"/>
        </w:rPr>
        <w:t>shoppers purchasing price-marked packs or buying on promotion also increased. 55.2% of convenience store shoppers purchased on promotion in the 4WE 02/05 (+2.5ppts) and 46.5% purchased a price-marked pack (+2.4ppts)</w:t>
      </w:r>
      <w:r w:rsidR="00F91CFA">
        <w:rPr>
          <w:rFonts w:ascii="Arial" w:hAnsi="Arial" w:cs="Arial"/>
          <w:sz w:val="20"/>
          <w:szCs w:val="20"/>
        </w:rPr>
        <w:t xml:space="preserve">. </w:t>
      </w:r>
      <w:r>
        <w:rPr>
          <w:rFonts w:ascii="Arial" w:hAnsi="Arial" w:cs="Arial"/>
          <w:sz w:val="20"/>
          <w:szCs w:val="20"/>
        </w:rPr>
        <w:t>The top three categories for PMPs are:</w:t>
      </w:r>
    </w:p>
    <w:tbl>
      <w:tblPr>
        <w:tblStyle w:val="TableGrid"/>
        <w:tblW w:w="0" w:type="auto"/>
        <w:tblLook w:val="04A0" w:firstRow="1" w:lastRow="0" w:firstColumn="1" w:lastColumn="0" w:noHBand="0" w:noVBand="1"/>
      </w:tblPr>
      <w:tblGrid>
        <w:gridCol w:w="2405"/>
        <w:gridCol w:w="851"/>
      </w:tblGrid>
      <w:tr w:rsidR="00CB611A" w14:paraId="596B9CE2" w14:textId="77777777" w:rsidTr="00CB611A">
        <w:tc>
          <w:tcPr>
            <w:tcW w:w="2405" w:type="dxa"/>
          </w:tcPr>
          <w:p w14:paraId="700842A4" w14:textId="27405AE9" w:rsidR="00CB611A" w:rsidRDefault="00CB611A" w:rsidP="00CB611A">
            <w:pPr>
              <w:rPr>
                <w:rFonts w:ascii="Arial" w:hAnsi="Arial" w:cs="Arial"/>
                <w:sz w:val="20"/>
                <w:szCs w:val="20"/>
              </w:rPr>
            </w:pPr>
            <w:r>
              <w:rPr>
                <w:rFonts w:ascii="Arial" w:hAnsi="Arial" w:cs="Arial"/>
                <w:sz w:val="20"/>
                <w:szCs w:val="20"/>
              </w:rPr>
              <w:t>Chilled foods (exc. milk)</w:t>
            </w:r>
          </w:p>
        </w:tc>
        <w:tc>
          <w:tcPr>
            <w:tcW w:w="851" w:type="dxa"/>
          </w:tcPr>
          <w:p w14:paraId="07F1919B" w14:textId="4FF2E2EA" w:rsidR="00CB611A" w:rsidRDefault="00CB611A" w:rsidP="00CB611A">
            <w:pPr>
              <w:rPr>
                <w:rFonts w:ascii="Arial" w:hAnsi="Arial" w:cs="Arial"/>
                <w:sz w:val="20"/>
                <w:szCs w:val="20"/>
              </w:rPr>
            </w:pPr>
            <w:r>
              <w:rPr>
                <w:rFonts w:ascii="Arial" w:hAnsi="Arial" w:cs="Arial"/>
                <w:sz w:val="20"/>
                <w:szCs w:val="20"/>
              </w:rPr>
              <w:t>1</w:t>
            </w:r>
            <w:r w:rsidR="00F91CFA">
              <w:rPr>
                <w:rFonts w:ascii="Arial" w:hAnsi="Arial" w:cs="Arial"/>
                <w:sz w:val="20"/>
                <w:szCs w:val="20"/>
              </w:rPr>
              <w:t>0</w:t>
            </w:r>
            <w:r>
              <w:rPr>
                <w:rFonts w:ascii="Arial" w:hAnsi="Arial" w:cs="Arial"/>
                <w:sz w:val="20"/>
                <w:szCs w:val="20"/>
              </w:rPr>
              <w:t>.</w:t>
            </w:r>
            <w:r w:rsidR="00F91CFA">
              <w:rPr>
                <w:rFonts w:ascii="Arial" w:hAnsi="Arial" w:cs="Arial"/>
                <w:sz w:val="20"/>
                <w:szCs w:val="20"/>
              </w:rPr>
              <w:t>9</w:t>
            </w:r>
            <w:r>
              <w:rPr>
                <w:rFonts w:ascii="Arial" w:hAnsi="Arial" w:cs="Arial"/>
                <w:sz w:val="20"/>
                <w:szCs w:val="20"/>
              </w:rPr>
              <w:t>%</w:t>
            </w:r>
          </w:p>
        </w:tc>
      </w:tr>
      <w:tr w:rsidR="00CB611A" w14:paraId="02380F35" w14:textId="77777777" w:rsidTr="00CB611A">
        <w:tc>
          <w:tcPr>
            <w:tcW w:w="2405" w:type="dxa"/>
          </w:tcPr>
          <w:p w14:paraId="106E5F13" w14:textId="224E3510" w:rsidR="00CB611A" w:rsidRDefault="00CB611A" w:rsidP="00CB611A">
            <w:pPr>
              <w:rPr>
                <w:rFonts w:ascii="Arial" w:hAnsi="Arial" w:cs="Arial"/>
                <w:sz w:val="20"/>
                <w:szCs w:val="20"/>
              </w:rPr>
            </w:pPr>
            <w:r>
              <w:rPr>
                <w:rFonts w:ascii="Arial" w:hAnsi="Arial" w:cs="Arial"/>
                <w:sz w:val="20"/>
                <w:szCs w:val="20"/>
              </w:rPr>
              <w:t>Bakery (wrapped)</w:t>
            </w:r>
          </w:p>
        </w:tc>
        <w:tc>
          <w:tcPr>
            <w:tcW w:w="851" w:type="dxa"/>
          </w:tcPr>
          <w:p w14:paraId="75420EA0" w14:textId="4A522BC7" w:rsidR="00CB611A" w:rsidRDefault="00F91CFA" w:rsidP="00CB611A">
            <w:pPr>
              <w:rPr>
                <w:rFonts w:ascii="Arial" w:hAnsi="Arial" w:cs="Arial"/>
                <w:sz w:val="20"/>
                <w:szCs w:val="20"/>
              </w:rPr>
            </w:pPr>
            <w:r>
              <w:rPr>
                <w:rFonts w:ascii="Arial" w:hAnsi="Arial" w:cs="Arial"/>
                <w:sz w:val="20"/>
                <w:szCs w:val="20"/>
              </w:rPr>
              <w:t>7.1</w:t>
            </w:r>
            <w:r w:rsidR="00CB611A">
              <w:rPr>
                <w:rFonts w:ascii="Arial" w:hAnsi="Arial" w:cs="Arial"/>
                <w:sz w:val="20"/>
                <w:szCs w:val="20"/>
              </w:rPr>
              <w:t>%</w:t>
            </w:r>
          </w:p>
        </w:tc>
      </w:tr>
      <w:tr w:rsidR="00CB611A" w14:paraId="61CA9133" w14:textId="77777777" w:rsidTr="00CB611A">
        <w:tc>
          <w:tcPr>
            <w:tcW w:w="2405" w:type="dxa"/>
          </w:tcPr>
          <w:p w14:paraId="3BAC1A21" w14:textId="4C134608" w:rsidR="00CB611A" w:rsidRDefault="00CB611A" w:rsidP="00CB611A">
            <w:pPr>
              <w:rPr>
                <w:rFonts w:ascii="Arial" w:hAnsi="Arial" w:cs="Arial"/>
                <w:sz w:val="20"/>
                <w:szCs w:val="20"/>
              </w:rPr>
            </w:pPr>
            <w:r>
              <w:rPr>
                <w:rFonts w:ascii="Arial" w:hAnsi="Arial" w:cs="Arial"/>
                <w:sz w:val="20"/>
                <w:szCs w:val="20"/>
              </w:rPr>
              <w:t>Soft Drinks</w:t>
            </w:r>
          </w:p>
        </w:tc>
        <w:tc>
          <w:tcPr>
            <w:tcW w:w="851" w:type="dxa"/>
          </w:tcPr>
          <w:p w14:paraId="54732E78" w14:textId="6B952ABA" w:rsidR="00CB611A" w:rsidRDefault="00F91CFA" w:rsidP="00CB611A">
            <w:pPr>
              <w:rPr>
                <w:rFonts w:ascii="Arial" w:hAnsi="Arial" w:cs="Arial"/>
                <w:sz w:val="20"/>
                <w:szCs w:val="20"/>
              </w:rPr>
            </w:pPr>
            <w:r>
              <w:rPr>
                <w:rFonts w:ascii="Arial" w:hAnsi="Arial" w:cs="Arial"/>
                <w:sz w:val="20"/>
                <w:szCs w:val="20"/>
              </w:rPr>
              <w:t>6.8%</w:t>
            </w:r>
          </w:p>
        </w:tc>
      </w:tr>
    </w:tbl>
    <w:p w14:paraId="69459DD4" w14:textId="77777777" w:rsidR="00001A90" w:rsidRDefault="00001A90" w:rsidP="00EA1B39">
      <w:pPr>
        <w:rPr>
          <w:rFonts w:ascii="Arial" w:hAnsi="Arial" w:cs="Arial"/>
          <w:sz w:val="20"/>
          <w:szCs w:val="20"/>
        </w:rPr>
      </w:pPr>
    </w:p>
    <w:p w14:paraId="10FA1CA8" w14:textId="1EF7FED0" w:rsidR="004E49F2" w:rsidRDefault="00C96714" w:rsidP="00EA1B39">
      <w:pPr>
        <w:rPr>
          <w:rFonts w:ascii="Arial" w:hAnsi="Arial" w:cs="Arial"/>
          <w:i/>
          <w:iCs/>
          <w:sz w:val="20"/>
          <w:szCs w:val="20"/>
        </w:rPr>
      </w:pPr>
      <w:r>
        <w:rPr>
          <w:rFonts w:ascii="Arial" w:hAnsi="Arial" w:cs="Arial"/>
          <w:sz w:val="20"/>
          <w:szCs w:val="20"/>
        </w:rPr>
        <w:t>Commenting on the results</w:t>
      </w:r>
      <w:r w:rsidR="007446FD" w:rsidRPr="007446FD">
        <w:rPr>
          <w:rFonts w:ascii="Arial" w:hAnsi="Arial" w:cs="Arial"/>
          <w:sz w:val="20"/>
          <w:szCs w:val="20"/>
        </w:rPr>
        <w:t xml:space="preserve">, </w:t>
      </w:r>
      <w:r w:rsidR="006D1A30">
        <w:rPr>
          <w:rFonts w:ascii="Arial" w:hAnsi="Arial" w:cs="Arial"/>
          <w:sz w:val="20"/>
          <w:szCs w:val="20"/>
        </w:rPr>
        <w:t>Alice Dolling</w:t>
      </w:r>
      <w:r>
        <w:rPr>
          <w:rFonts w:ascii="Arial" w:hAnsi="Arial" w:cs="Arial"/>
          <w:sz w:val="20"/>
          <w:szCs w:val="20"/>
        </w:rPr>
        <w:t xml:space="preserve">, </w:t>
      </w:r>
      <w:r w:rsidR="00536193">
        <w:rPr>
          <w:rFonts w:ascii="Arial" w:hAnsi="Arial" w:cs="Arial"/>
          <w:sz w:val="20"/>
          <w:szCs w:val="20"/>
        </w:rPr>
        <w:t>Insight</w:t>
      </w:r>
      <w:r w:rsidR="006D1A30">
        <w:rPr>
          <w:rFonts w:ascii="Arial" w:hAnsi="Arial" w:cs="Arial"/>
          <w:sz w:val="20"/>
          <w:szCs w:val="20"/>
        </w:rPr>
        <w:t xml:space="preserve"> Lead</w:t>
      </w:r>
      <w:r w:rsidR="007446FD" w:rsidRPr="007446FD">
        <w:rPr>
          <w:rFonts w:ascii="Arial" w:hAnsi="Arial" w:cs="Arial"/>
          <w:sz w:val="20"/>
          <w:szCs w:val="20"/>
        </w:rPr>
        <w:t xml:space="preserve"> at </w:t>
      </w:r>
      <w:r w:rsidR="007446FD">
        <w:rPr>
          <w:rFonts w:ascii="Arial" w:hAnsi="Arial" w:cs="Arial"/>
          <w:sz w:val="20"/>
          <w:szCs w:val="20"/>
        </w:rPr>
        <w:t>Lumina Intelligence</w:t>
      </w:r>
      <w:r w:rsidR="007446FD" w:rsidRPr="007446FD">
        <w:rPr>
          <w:rFonts w:ascii="Arial" w:hAnsi="Arial" w:cs="Arial"/>
          <w:sz w:val="20"/>
          <w:szCs w:val="20"/>
        </w:rPr>
        <w:t xml:space="preserve"> sa</w:t>
      </w:r>
      <w:r w:rsidR="001C5B98">
        <w:rPr>
          <w:rFonts w:ascii="Arial" w:hAnsi="Arial" w:cs="Arial"/>
          <w:sz w:val="20"/>
          <w:szCs w:val="20"/>
        </w:rPr>
        <w:t>id</w:t>
      </w:r>
      <w:r w:rsidR="007446FD" w:rsidRPr="007446FD">
        <w:rPr>
          <w:rFonts w:ascii="Arial" w:hAnsi="Arial" w:cs="Arial"/>
          <w:sz w:val="20"/>
          <w:szCs w:val="20"/>
        </w:rPr>
        <w:t xml:space="preserve">, </w:t>
      </w:r>
      <w:r w:rsidR="007446FD" w:rsidRPr="003E204B">
        <w:rPr>
          <w:rFonts w:ascii="Arial" w:hAnsi="Arial" w:cs="Arial"/>
          <w:i/>
          <w:iCs/>
          <w:sz w:val="20"/>
          <w:szCs w:val="20"/>
        </w:rPr>
        <w:t>“</w:t>
      </w:r>
      <w:r w:rsidR="001818CF">
        <w:rPr>
          <w:rFonts w:ascii="Arial" w:hAnsi="Arial" w:cs="Arial"/>
          <w:i/>
          <w:iCs/>
          <w:sz w:val="20"/>
          <w:szCs w:val="20"/>
        </w:rPr>
        <w:t xml:space="preserve">Despite restrictions of the UK hospitality industry beginning to ease, convenience retail benefitted from increased visit frequency and spend in April. </w:t>
      </w:r>
      <w:r w:rsidR="004E49F2">
        <w:rPr>
          <w:rFonts w:ascii="Arial" w:hAnsi="Arial" w:cs="Arial"/>
          <w:i/>
          <w:iCs/>
          <w:sz w:val="20"/>
          <w:szCs w:val="20"/>
        </w:rPr>
        <w:t>Increased movement of people has also had a positive impact on the food to go category, which has increased share of total visits. As restrictions ease further, we expect food to go to continue to grow its share, particularly as workers return to offices.”</w:t>
      </w:r>
    </w:p>
    <w:p w14:paraId="60BF0EA0" w14:textId="6DDBCDC9" w:rsidR="004E49F2" w:rsidRDefault="005268A2" w:rsidP="00EA1B39">
      <w:pPr>
        <w:rPr>
          <w:rFonts w:ascii="Arial" w:hAnsi="Arial" w:cs="Arial"/>
          <w:i/>
          <w:iCs/>
          <w:sz w:val="20"/>
          <w:szCs w:val="20"/>
        </w:rPr>
      </w:pPr>
      <w:r>
        <w:rPr>
          <w:rFonts w:ascii="Arial" w:hAnsi="Arial" w:cs="Arial"/>
          <w:i/>
          <w:iCs/>
          <w:sz w:val="20"/>
          <w:szCs w:val="20"/>
        </w:rPr>
        <w:t>“</w:t>
      </w:r>
      <w:r w:rsidR="004E49F2">
        <w:rPr>
          <w:rFonts w:ascii="Arial" w:hAnsi="Arial" w:cs="Arial"/>
          <w:i/>
          <w:iCs/>
          <w:sz w:val="20"/>
          <w:szCs w:val="20"/>
        </w:rPr>
        <w:t xml:space="preserve">At the beginning of the year, we predicted the trend towards delivery to be one of the lasting legacies of the coronavirus pandemic, as shoppers get used to the convenience it offers. </w:t>
      </w:r>
      <w:r w:rsidR="004630BC">
        <w:rPr>
          <w:rFonts w:ascii="Arial" w:hAnsi="Arial" w:cs="Arial"/>
          <w:i/>
          <w:iCs/>
          <w:sz w:val="20"/>
          <w:szCs w:val="20"/>
        </w:rPr>
        <w:t>Our latest data continues to support this prediction, with the proportion of convenience store shoppers using delivery to conduct their shopping increasing by 40% in April.”</w:t>
      </w:r>
      <w:r w:rsidR="004E49F2">
        <w:rPr>
          <w:rFonts w:ascii="Arial" w:hAnsi="Arial" w:cs="Arial"/>
          <w:i/>
          <w:iCs/>
          <w:sz w:val="20"/>
          <w:szCs w:val="20"/>
        </w:rPr>
        <w:t xml:space="preserve"> </w:t>
      </w:r>
    </w:p>
    <w:p w14:paraId="33449AD6" w14:textId="4782A8F8" w:rsidR="00555B2A" w:rsidRPr="007464CC" w:rsidRDefault="007464CC" w:rsidP="007446FD">
      <w:pPr>
        <w:rPr>
          <w:rFonts w:ascii="Arial" w:hAnsi="Arial" w:cs="Arial"/>
          <w:sz w:val="20"/>
          <w:szCs w:val="20"/>
        </w:rPr>
      </w:pPr>
      <w:r>
        <w:rPr>
          <w:rFonts w:ascii="Arial" w:hAnsi="Arial" w:cs="Arial"/>
          <w:sz w:val="20"/>
          <w:szCs w:val="20"/>
        </w:rPr>
        <w:t xml:space="preserve">Find out more about Lumina Intelligence’s Convenience Tracking Programme </w:t>
      </w:r>
      <w:hyperlink r:id="rId7" w:anchor="1603268996829-d3f4690e-bc4fd329-2dae" w:history="1">
        <w:r w:rsidRPr="007464CC">
          <w:rPr>
            <w:rStyle w:val="Hyperlink"/>
            <w:rFonts w:ascii="Arial" w:hAnsi="Arial" w:cs="Arial"/>
            <w:sz w:val="20"/>
            <w:szCs w:val="20"/>
          </w:rPr>
          <w:t>here</w:t>
        </w:r>
      </w:hyperlink>
      <w:r>
        <w:rPr>
          <w:rFonts w:ascii="Arial" w:hAnsi="Arial" w:cs="Arial"/>
          <w:sz w:val="20"/>
          <w:szCs w:val="20"/>
        </w:rPr>
        <w:t>.</w:t>
      </w:r>
    </w:p>
    <w:p w14:paraId="37CCD9B8" w14:textId="73698C9F"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4E9B8B25" w:rsidR="00550B08" w:rsidRPr="00550B08" w:rsidRDefault="001A77B5">
      <w:pPr>
        <w:rPr>
          <w:rFonts w:ascii="Arial" w:hAnsi="Arial" w:cs="Arial"/>
          <w:b/>
          <w:bCs/>
          <w:sz w:val="20"/>
          <w:szCs w:val="20"/>
        </w:rPr>
      </w:pPr>
      <w:r>
        <w:rPr>
          <w:rFonts w:ascii="Arial" w:hAnsi="Arial" w:cs="Arial"/>
          <w:b/>
          <w:bCs/>
          <w:sz w:val="20"/>
          <w:szCs w:val="20"/>
        </w:rPr>
        <w:t>Convenience Tracking Programme</w:t>
      </w:r>
    </w:p>
    <w:p w14:paraId="3A05EB12" w14:textId="44E06BED" w:rsidR="00DC7554" w:rsidRPr="00DC7554" w:rsidRDefault="007464CC" w:rsidP="007464CC">
      <w:pPr>
        <w:rPr>
          <w:rFonts w:ascii="Arial" w:hAnsi="Arial" w:cs="Arial"/>
          <w:sz w:val="20"/>
          <w:szCs w:val="20"/>
        </w:rPr>
      </w:pPr>
      <w:r w:rsidRPr="007464CC">
        <w:rPr>
          <w:rFonts w:ascii="Arial" w:hAnsi="Arial" w:cs="Arial"/>
          <w:sz w:val="20"/>
          <w:szCs w:val="20"/>
        </w:rPr>
        <w:t>Lumina Intelligence’s Convenience Tracking Programme is the</w:t>
      </w:r>
      <w:r>
        <w:rPr>
          <w:rFonts w:ascii="Arial" w:hAnsi="Arial" w:cs="Arial"/>
          <w:sz w:val="20"/>
          <w:szCs w:val="20"/>
        </w:rPr>
        <w:t xml:space="preserve"> </w:t>
      </w:r>
      <w:r w:rsidRPr="007464CC">
        <w:rPr>
          <w:rFonts w:ascii="Arial" w:hAnsi="Arial" w:cs="Arial"/>
          <w:sz w:val="20"/>
          <w:szCs w:val="20"/>
        </w:rPr>
        <w:t>authority on the complex and fragmented UK convenience</w:t>
      </w:r>
      <w:r>
        <w:rPr>
          <w:rFonts w:ascii="Arial" w:hAnsi="Arial" w:cs="Arial"/>
          <w:sz w:val="20"/>
          <w:szCs w:val="20"/>
        </w:rPr>
        <w:t xml:space="preserve"> </w:t>
      </w:r>
      <w:r w:rsidRPr="007464CC">
        <w:rPr>
          <w:rFonts w:ascii="Arial" w:hAnsi="Arial" w:cs="Arial"/>
          <w:sz w:val="20"/>
          <w:szCs w:val="20"/>
        </w:rPr>
        <w:t>market, supporting suppliers and retailers with data, forecasting, retailer analysis and path to purchase insight.</w:t>
      </w:r>
      <w:r>
        <w:rPr>
          <w:rFonts w:ascii="Arial" w:hAnsi="Arial" w:cs="Arial"/>
          <w:sz w:val="20"/>
          <w:szCs w:val="20"/>
        </w:rPr>
        <w:t xml:space="preserve"> </w:t>
      </w:r>
      <w:r w:rsidR="00DC7554" w:rsidRPr="00DC7554">
        <w:rPr>
          <w:rFonts w:ascii="Arial" w:hAnsi="Arial" w:cs="Arial"/>
          <w:sz w:val="20"/>
          <w:szCs w:val="20"/>
        </w:rPr>
        <w:t>Built from analysis of over 50,000</w:t>
      </w:r>
      <w:r w:rsidR="00DC7554">
        <w:rPr>
          <w:rFonts w:ascii="Arial" w:hAnsi="Arial" w:cs="Arial"/>
          <w:sz w:val="20"/>
          <w:szCs w:val="20"/>
        </w:rPr>
        <w:t xml:space="preserve"> </w:t>
      </w:r>
      <w:r w:rsidR="00DC7554" w:rsidRPr="00DC7554">
        <w:rPr>
          <w:rFonts w:ascii="Arial" w:hAnsi="Arial" w:cs="Arial"/>
          <w:sz w:val="20"/>
          <w:szCs w:val="20"/>
        </w:rPr>
        <w:t>shopping trips per year,</w:t>
      </w:r>
      <w:r w:rsidR="00DC7554">
        <w:rPr>
          <w:rFonts w:ascii="Arial" w:hAnsi="Arial" w:cs="Arial"/>
          <w:sz w:val="20"/>
          <w:szCs w:val="20"/>
        </w:rPr>
        <w:t xml:space="preserve"> </w:t>
      </w:r>
      <w:r w:rsidR="00DC7554" w:rsidRPr="00DC7554">
        <w:rPr>
          <w:rFonts w:ascii="Arial" w:hAnsi="Arial" w:cs="Arial"/>
          <w:sz w:val="20"/>
          <w:szCs w:val="20"/>
        </w:rPr>
        <w:t>C</w:t>
      </w:r>
      <w:r w:rsidR="00DC7554">
        <w:rPr>
          <w:rFonts w:ascii="Arial" w:hAnsi="Arial" w:cs="Arial"/>
          <w:sz w:val="20"/>
          <w:szCs w:val="20"/>
        </w:rPr>
        <w:t xml:space="preserve">TP </w:t>
      </w:r>
      <w:r w:rsidR="00DC7554" w:rsidRPr="00DC7554">
        <w:rPr>
          <w:rFonts w:ascii="Arial" w:hAnsi="Arial" w:cs="Arial"/>
          <w:sz w:val="20"/>
          <w:szCs w:val="20"/>
        </w:rPr>
        <w:t>is the largest convenience shopper</w:t>
      </w:r>
      <w:r w:rsidR="00DC7554">
        <w:rPr>
          <w:rFonts w:ascii="Arial" w:hAnsi="Arial" w:cs="Arial"/>
          <w:sz w:val="20"/>
          <w:szCs w:val="20"/>
        </w:rPr>
        <w:t xml:space="preserve"> </w:t>
      </w:r>
      <w:r w:rsidR="00DC7554" w:rsidRPr="00DC7554">
        <w:rPr>
          <w:rFonts w:ascii="Arial" w:hAnsi="Arial" w:cs="Arial"/>
          <w:sz w:val="20"/>
          <w:szCs w:val="20"/>
        </w:rPr>
        <w:t xml:space="preserve">survey in the UK. </w:t>
      </w:r>
    </w:p>
    <w:p w14:paraId="47C03818" w14:textId="52E7ED61" w:rsidR="007446FD" w:rsidRDefault="004603C2">
      <w:pPr>
        <w:rPr>
          <w:rFonts w:ascii="Arial" w:hAnsi="Arial" w:cs="Arial"/>
          <w:sz w:val="20"/>
          <w:szCs w:val="20"/>
        </w:rPr>
      </w:pPr>
      <w:r>
        <w:rPr>
          <w:rFonts w:ascii="Arial" w:hAnsi="Arial" w:cs="Arial"/>
          <w:sz w:val="20"/>
          <w:szCs w:val="20"/>
        </w:rPr>
        <w:t>The methodology for this specific content is:</w:t>
      </w:r>
    </w:p>
    <w:p w14:paraId="2F20FA91" w14:textId="2C83BC02" w:rsidR="007464CC" w:rsidRPr="007464CC" w:rsidRDefault="007464CC" w:rsidP="007464CC">
      <w:pPr>
        <w:pStyle w:val="ListParagraph"/>
        <w:numPr>
          <w:ilvl w:val="0"/>
          <w:numId w:val="8"/>
        </w:numPr>
        <w:rPr>
          <w:rFonts w:ascii="Arial" w:hAnsi="Arial" w:cs="Arial"/>
          <w:sz w:val="20"/>
          <w:szCs w:val="20"/>
        </w:rPr>
      </w:pPr>
      <w:r w:rsidRPr="007464CC">
        <w:rPr>
          <w:rFonts w:ascii="Arial" w:hAnsi="Arial" w:cs="Arial"/>
          <w:sz w:val="20"/>
          <w:szCs w:val="20"/>
        </w:rPr>
        <w:t>Data collected in the 4 weeks ending 0</w:t>
      </w:r>
      <w:r w:rsidR="004630BC">
        <w:rPr>
          <w:rFonts w:ascii="Arial" w:hAnsi="Arial" w:cs="Arial"/>
          <w:sz w:val="20"/>
          <w:szCs w:val="20"/>
        </w:rPr>
        <w:t>2</w:t>
      </w:r>
      <w:r w:rsidRPr="007464CC">
        <w:rPr>
          <w:rFonts w:ascii="Arial" w:hAnsi="Arial" w:cs="Arial"/>
          <w:sz w:val="20"/>
          <w:szCs w:val="20"/>
        </w:rPr>
        <w:t>.0</w:t>
      </w:r>
      <w:r w:rsidR="004630BC">
        <w:rPr>
          <w:rFonts w:ascii="Arial" w:hAnsi="Arial" w:cs="Arial"/>
          <w:sz w:val="20"/>
          <w:szCs w:val="20"/>
        </w:rPr>
        <w:t>5</w:t>
      </w:r>
    </w:p>
    <w:p w14:paraId="75D44201" w14:textId="35D19002" w:rsidR="007464CC" w:rsidRPr="007464CC" w:rsidRDefault="007464CC" w:rsidP="007464CC">
      <w:pPr>
        <w:pStyle w:val="ListParagraph"/>
        <w:numPr>
          <w:ilvl w:val="0"/>
          <w:numId w:val="8"/>
        </w:numPr>
        <w:rPr>
          <w:rFonts w:ascii="Arial" w:hAnsi="Arial" w:cs="Arial"/>
          <w:sz w:val="20"/>
          <w:szCs w:val="20"/>
        </w:rPr>
      </w:pPr>
      <w:r w:rsidRPr="007464CC">
        <w:rPr>
          <w:rFonts w:ascii="Arial" w:hAnsi="Arial" w:cs="Arial"/>
          <w:sz w:val="20"/>
          <w:szCs w:val="20"/>
        </w:rPr>
        <w:t>1,500 nationally representative sample per week</w:t>
      </w:r>
    </w:p>
    <w:p w14:paraId="12DA4805" w14:textId="438E67BB" w:rsidR="006A4C1D" w:rsidRDefault="007464CC" w:rsidP="007464CC">
      <w:pPr>
        <w:pStyle w:val="ListParagraph"/>
        <w:numPr>
          <w:ilvl w:val="0"/>
          <w:numId w:val="8"/>
        </w:numPr>
        <w:rPr>
          <w:rFonts w:ascii="Arial" w:hAnsi="Arial" w:cs="Arial"/>
          <w:sz w:val="20"/>
          <w:szCs w:val="20"/>
        </w:rPr>
      </w:pPr>
      <w:r w:rsidRPr="007464CC">
        <w:rPr>
          <w:rFonts w:ascii="Arial" w:hAnsi="Arial" w:cs="Arial"/>
          <w:sz w:val="20"/>
          <w:szCs w:val="20"/>
        </w:rPr>
        <w:t>In depth online interviews</w:t>
      </w:r>
    </w:p>
    <w:p w14:paraId="492E43F4" w14:textId="77777777" w:rsidR="007464CC" w:rsidRPr="007464CC" w:rsidRDefault="007464CC" w:rsidP="007464CC">
      <w:pPr>
        <w:pStyle w:val="ListParagraph"/>
        <w:rPr>
          <w:rFonts w:ascii="Arial" w:hAnsi="Arial" w:cs="Arial"/>
          <w:sz w:val="20"/>
          <w:szCs w:val="20"/>
        </w:rPr>
      </w:pPr>
    </w:p>
    <w:p w14:paraId="4CEA97D8" w14:textId="4C53D932"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5630AB"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4F42CB"/>
    <w:multiLevelType w:val="hybridMultilevel"/>
    <w:tmpl w:val="2F788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7E268D"/>
    <w:multiLevelType w:val="hybridMultilevel"/>
    <w:tmpl w:val="5E881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E956A3"/>
    <w:multiLevelType w:val="hybridMultilevel"/>
    <w:tmpl w:val="F3B2B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0"/>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01A90"/>
    <w:rsid w:val="000438E4"/>
    <w:rsid w:val="00072404"/>
    <w:rsid w:val="000D6D3C"/>
    <w:rsid w:val="000F1972"/>
    <w:rsid w:val="00113451"/>
    <w:rsid w:val="00116246"/>
    <w:rsid w:val="001249C3"/>
    <w:rsid w:val="001818CF"/>
    <w:rsid w:val="001939DD"/>
    <w:rsid w:val="001A77B5"/>
    <w:rsid w:val="001C5B98"/>
    <w:rsid w:val="00261F91"/>
    <w:rsid w:val="002A0F0F"/>
    <w:rsid w:val="002F0BB4"/>
    <w:rsid w:val="00363346"/>
    <w:rsid w:val="00376056"/>
    <w:rsid w:val="003C4BB2"/>
    <w:rsid w:val="003E204B"/>
    <w:rsid w:val="00420DAF"/>
    <w:rsid w:val="0044412F"/>
    <w:rsid w:val="004603C2"/>
    <w:rsid w:val="004630BC"/>
    <w:rsid w:val="004B3902"/>
    <w:rsid w:val="004C2C36"/>
    <w:rsid w:val="004D23F6"/>
    <w:rsid w:val="004E49F2"/>
    <w:rsid w:val="004F1FF8"/>
    <w:rsid w:val="005268A2"/>
    <w:rsid w:val="00536193"/>
    <w:rsid w:val="00550B08"/>
    <w:rsid w:val="0055150D"/>
    <w:rsid w:val="00553497"/>
    <w:rsid w:val="00555B2A"/>
    <w:rsid w:val="005630AB"/>
    <w:rsid w:val="00566CAE"/>
    <w:rsid w:val="00604B4A"/>
    <w:rsid w:val="0064731C"/>
    <w:rsid w:val="0064772D"/>
    <w:rsid w:val="006610F6"/>
    <w:rsid w:val="00664850"/>
    <w:rsid w:val="00684B17"/>
    <w:rsid w:val="006A4C1D"/>
    <w:rsid w:val="006D1A30"/>
    <w:rsid w:val="006D3E25"/>
    <w:rsid w:val="006E79FF"/>
    <w:rsid w:val="00720ABB"/>
    <w:rsid w:val="007221DF"/>
    <w:rsid w:val="007229E3"/>
    <w:rsid w:val="007446FD"/>
    <w:rsid w:val="007464CC"/>
    <w:rsid w:val="0075133D"/>
    <w:rsid w:val="00755025"/>
    <w:rsid w:val="0076037A"/>
    <w:rsid w:val="007A6F78"/>
    <w:rsid w:val="007F3C85"/>
    <w:rsid w:val="008249B4"/>
    <w:rsid w:val="008276B8"/>
    <w:rsid w:val="00846DDB"/>
    <w:rsid w:val="00890323"/>
    <w:rsid w:val="00892573"/>
    <w:rsid w:val="008D4655"/>
    <w:rsid w:val="008E317A"/>
    <w:rsid w:val="008E5A63"/>
    <w:rsid w:val="00977CB4"/>
    <w:rsid w:val="009A6775"/>
    <w:rsid w:val="009C084D"/>
    <w:rsid w:val="009C613A"/>
    <w:rsid w:val="009D1543"/>
    <w:rsid w:val="009E1FAD"/>
    <w:rsid w:val="00A00FB6"/>
    <w:rsid w:val="00A140E6"/>
    <w:rsid w:val="00A16619"/>
    <w:rsid w:val="00A169F7"/>
    <w:rsid w:val="00A90962"/>
    <w:rsid w:val="00AB7901"/>
    <w:rsid w:val="00AD236E"/>
    <w:rsid w:val="00AE3120"/>
    <w:rsid w:val="00AE62B7"/>
    <w:rsid w:val="00AE6B2F"/>
    <w:rsid w:val="00B06B5C"/>
    <w:rsid w:val="00B414CE"/>
    <w:rsid w:val="00B46E6F"/>
    <w:rsid w:val="00BA5816"/>
    <w:rsid w:val="00BA628B"/>
    <w:rsid w:val="00BB4747"/>
    <w:rsid w:val="00BD0AD1"/>
    <w:rsid w:val="00BE4A37"/>
    <w:rsid w:val="00C16ADB"/>
    <w:rsid w:val="00C270FD"/>
    <w:rsid w:val="00C545F0"/>
    <w:rsid w:val="00C77C17"/>
    <w:rsid w:val="00C86028"/>
    <w:rsid w:val="00C90D11"/>
    <w:rsid w:val="00C96714"/>
    <w:rsid w:val="00CA4A0A"/>
    <w:rsid w:val="00CB611A"/>
    <w:rsid w:val="00CE6B8A"/>
    <w:rsid w:val="00D0274E"/>
    <w:rsid w:val="00D25202"/>
    <w:rsid w:val="00D308D1"/>
    <w:rsid w:val="00D31B4F"/>
    <w:rsid w:val="00D563FA"/>
    <w:rsid w:val="00D5787F"/>
    <w:rsid w:val="00DA44AD"/>
    <w:rsid w:val="00DB15DD"/>
    <w:rsid w:val="00DC7554"/>
    <w:rsid w:val="00DD09DB"/>
    <w:rsid w:val="00E214AC"/>
    <w:rsid w:val="00E56A95"/>
    <w:rsid w:val="00E60840"/>
    <w:rsid w:val="00E72427"/>
    <w:rsid w:val="00E976A1"/>
    <w:rsid w:val="00EA1B39"/>
    <w:rsid w:val="00ED2C5E"/>
    <w:rsid w:val="00ED3ABD"/>
    <w:rsid w:val="00F16921"/>
    <w:rsid w:val="00F63F14"/>
    <w:rsid w:val="00F91C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table" w:styleId="TableGrid">
    <w:name w:val="Table Grid"/>
    <w:basedOn w:val="TableNormal"/>
    <w:uiPriority w:val="39"/>
    <w:rsid w:val="00CB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www.lumina-intelligence.com/product/convenience-tracking-program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3</cp:revision>
  <dcterms:created xsi:type="dcterms:W3CDTF">2021-05-17T10:34:00Z</dcterms:created>
  <dcterms:modified xsi:type="dcterms:W3CDTF">2021-05-17T12:32:00Z</dcterms:modified>
</cp:coreProperties>
</file>