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7">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2B747C" w:rsidP="00ED3ABD">
      <w:pPr>
        <w:spacing w:after="0" w:line="240" w:lineRule="auto"/>
        <w:rPr>
          <w:rStyle w:val="Hyperlink"/>
          <w:rFonts w:ascii="Arial" w:hAnsi="Arial" w:cs="Arial"/>
          <w:color w:val="505050"/>
          <w:sz w:val="18"/>
          <w:szCs w:val="18"/>
        </w:rPr>
      </w:pPr>
      <w:hyperlink r:id="rId8"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3507875A" w:rsidR="00ED3ABD" w:rsidRPr="00550B08" w:rsidRDefault="0020205C"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08 June</w:t>
      </w:r>
      <w:r w:rsidR="003C4BB2" w:rsidRPr="00550B08">
        <w:rPr>
          <w:rStyle w:val="Hyperlink"/>
          <w:rFonts w:ascii="Arial" w:hAnsi="Arial" w:cs="Arial"/>
          <w:b/>
          <w:bCs/>
          <w:color w:val="505050"/>
          <w:sz w:val="18"/>
          <w:szCs w:val="18"/>
          <w:u w:val="none"/>
        </w:rPr>
        <w:t xml:space="preserve"> 202</w:t>
      </w:r>
      <w:r w:rsidR="00D36AF3">
        <w:rPr>
          <w:rStyle w:val="Hyperlink"/>
          <w:rFonts w:ascii="Arial" w:hAnsi="Arial" w:cs="Arial"/>
          <w:b/>
          <w:bCs/>
          <w:color w:val="505050"/>
          <w:sz w:val="18"/>
          <w:szCs w:val="18"/>
          <w:u w:val="none"/>
        </w:rPr>
        <w:t>1</w:t>
      </w:r>
    </w:p>
    <w:p w14:paraId="04302EA3" w14:textId="77777777" w:rsidR="0055150D" w:rsidRDefault="0055150D" w:rsidP="00C545F0">
      <w:pPr>
        <w:jc w:val="center"/>
        <w:rPr>
          <w:rFonts w:ascii="Arial" w:hAnsi="Arial" w:cs="Arial"/>
          <w:b/>
          <w:bCs/>
          <w:sz w:val="32"/>
          <w:szCs w:val="32"/>
        </w:rPr>
      </w:pPr>
    </w:p>
    <w:p w14:paraId="275BB4BB" w14:textId="2759B6AD" w:rsidR="00DD5EEB" w:rsidRDefault="00BF4DC8" w:rsidP="00DB2AFC">
      <w:pPr>
        <w:jc w:val="center"/>
        <w:rPr>
          <w:rFonts w:ascii="Arial" w:hAnsi="Arial" w:cs="Arial"/>
          <w:b/>
          <w:bCs/>
          <w:sz w:val="32"/>
          <w:szCs w:val="32"/>
        </w:rPr>
      </w:pPr>
      <w:r>
        <w:rPr>
          <w:rFonts w:ascii="Arial" w:hAnsi="Arial" w:cs="Arial"/>
          <w:b/>
          <w:bCs/>
          <w:sz w:val="32"/>
          <w:szCs w:val="32"/>
        </w:rPr>
        <w:t xml:space="preserve">UK </w:t>
      </w:r>
      <w:r w:rsidR="00DD5EEB">
        <w:rPr>
          <w:rFonts w:ascii="Arial" w:hAnsi="Arial" w:cs="Arial"/>
          <w:b/>
          <w:bCs/>
          <w:sz w:val="32"/>
          <w:szCs w:val="32"/>
        </w:rPr>
        <w:t xml:space="preserve">eating out market to grow </w:t>
      </w:r>
      <w:r w:rsidR="00130BE2">
        <w:rPr>
          <w:rFonts w:ascii="Arial" w:hAnsi="Arial" w:cs="Arial"/>
          <w:b/>
          <w:bCs/>
          <w:sz w:val="32"/>
          <w:szCs w:val="32"/>
        </w:rPr>
        <w:t>+</w:t>
      </w:r>
      <w:r w:rsidR="00DD5EEB">
        <w:rPr>
          <w:rFonts w:ascii="Arial" w:hAnsi="Arial" w:cs="Arial"/>
          <w:b/>
          <w:bCs/>
          <w:sz w:val="32"/>
          <w:szCs w:val="32"/>
        </w:rPr>
        <w:t>33.4% to £63.6bn in 2021, ahead of a full market recovery in 2022</w:t>
      </w:r>
    </w:p>
    <w:p w14:paraId="3A155D76" w14:textId="3A754FEE" w:rsidR="00E975B9" w:rsidRDefault="007446FD" w:rsidP="008E5A63">
      <w:pPr>
        <w:rPr>
          <w:rFonts w:ascii="Arial" w:hAnsi="Arial" w:cs="Arial"/>
          <w:sz w:val="20"/>
          <w:szCs w:val="20"/>
        </w:rPr>
      </w:pPr>
      <w:r w:rsidRPr="007446FD">
        <w:rPr>
          <w:rFonts w:ascii="Arial" w:hAnsi="Arial" w:cs="Arial"/>
          <w:sz w:val="20"/>
          <w:szCs w:val="20"/>
        </w:rPr>
        <w:t>According</w:t>
      </w:r>
      <w:r w:rsidR="0055150D">
        <w:rPr>
          <w:rFonts w:ascii="Arial" w:hAnsi="Arial" w:cs="Arial"/>
          <w:sz w:val="20"/>
          <w:szCs w:val="20"/>
        </w:rPr>
        <w:t xml:space="preserve"> to</w:t>
      </w:r>
      <w:r w:rsidRPr="007446FD">
        <w:rPr>
          <w:rFonts w:ascii="Arial" w:hAnsi="Arial" w:cs="Arial"/>
          <w:sz w:val="20"/>
          <w:szCs w:val="20"/>
        </w:rPr>
        <w:t xml:space="preserve"> </w:t>
      </w:r>
      <w:r w:rsidR="00DB2AFC">
        <w:rPr>
          <w:rFonts w:ascii="Arial" w:hAnsi="Arial" w:cs="Arial"/>
          <w:sz w:val="20"/>
          <w:szCs w:val="20"/>
        </w:rPr>
        <w:t xml:space="preserve">the new Lumina Intelligence UK </w:t>
      </w:r>
      <w:r w:rsidR="00E975B9">
        <w:rPr>
          <w:rFonts w:ascii="Arial" w:hAnsi="Arial" w:cs="Arial"/>
          <w:sz w:val="20"/>
          <w:szCs w:val="20"/>
        </w:rPr>
        <w:t xml:space="preserve">Eating Out Market Report 2021, the </w:t>
      </w:r>
      <w:r w:rsidR="00D36AF3">
        <w:rPr>
          <w:rFonts w:ascii="Arial" w:hAnsi="Arial" w:cs="Arial"/>
          <w:sz w:val="20"/>
          <w:szCs w:val="20"/>
        </w:rPr>
        <w:t xml:space="preserve">UK </w:t>
      </w:r>
      <w:r w:rsidR="00E975B9">
        <w:rPr>
          <w:rFonts w:ascii="Arial" w:hAnsi="Arial" w:cs="Arial"/>
          <w:sz w:val="20"/>
          <w:szCs w:val="20"/>
        </w:rPr>
        <w:t xml:space="preserve">eating out market is expected to grow </w:t>
      </w:r>
      <w:r w:rsidR="00130BE2">
        <w:rPr>
          <w:rFonts w:ascii="Arial" w:hAnsi="Arial" w:cs="Arial"/>
          <w:sz w:val="20"/>
          <w:szCs w:val="20"/>
        </w:rPr>
        <w:t>+</w:t>
      </w:r>
      <w:r w:rsidR="00E975B9">
        <w:rPr>
          <w:rFonts w:ascii="Arial" w:hAnsi="Arial" w:cs="Arial"/>
          <w:sz w:val="20"/>
          <w:szCs w:val="20"/>
        </w:rPr>
        <w:t xml:space="preserve">33.4% in 2021, to £63.6bn. The report further predicts that the market will make a full recovery </w:t>
      </w:r>
      <w:r w:rsidR="00A3135A">
        <w:rPr>
          <w:rFonts w:ascii="Arial" w:hAnsi="Arial" w:cs="Arial"/>
          <w:sz w:val="20"/>
          <w:szCs w:val="20"/>
        </w:rPr>
        <w:t>and exceed</w:t>
      </w:r>
      <w:r w:rsidR="00E975B9">
        <w:rPr>
          <w:rFonts w:ascii="Arial" w:hAnsi="Arial" w:cs="Arial"/>
          <w:sz w:val="20"/>
          <w:szCs w:val="20"/>
        </w:rPr>
        <w:t xml:space="preserve"> </w:t>
      </w:r>
      <w:r w:rsidR="00CB38ED">
        <w:rPr>
          <w:rFonts w:ascii="Arial" w:hAnsi="Arial" w:cs="Arial"/>
          <w:sz w:val="20"/>
          <w:szCs w:val="20"/>
        </w:rPr>
        <w:t xml:space="preserve">its </w:t>
      </w:r>
      <w:r w:rsidR="00E975B9">
        <w:rPr>
          <w:rFonts w:ascii="Arial" w:hAnsi="Arial" w:cs="Arial"/>
          <w:sz w:val="20"/>
          <w:szCs w:val="20"/>
        </w:rPr>
        <w:t xml:space="preserve">pre-pandemic </w:t>
      </w:r>
      <w:r w:rsidR="00A3135A">
        <w:rPr>
          <w:rFonts w:ascii="Arial" w:hAnsi="Arial" w:cs="Arial"/>
          <w:sz w:val="20"/>
          <w:szCs w:val="20"/>
        </w:rPr>
        <w:t>value</w:t>
      </w:r>
      <w:r w:rsidR="00E975B9">
        <w:rPr>
          <w:rFonts w:ascii="Arial" w:hAnsi="Arial" w:cs="Arial"/>
          <w:sz w:val="20"/>
          <w:szCs w:val="20"/>
        </w:rPr>
        <w:t xml:space="preserve"> by the end of 2022, when it is set to be worth £91.9bn.</w:t>
      </w:r>
    </w:p>
    <w:p w14:paraId="3009ED76" w14:textId="5921D488" w:rsidR="00E975B9" w:rsidRDefault="002B740C" w:rsidP="008E5A63">
      <w:pPr>
        <w:rPr>
          <w:rFonts w:ascii="Arial" w:hAnsi="Arial" w:cs="Arial"/>
          <w:sz w:val="20"/>
          <w:szCs w:val="20"/>
        </w:rPr>
      </w:pPr>
      <w:r w:rsidRPr="002B740C">
        <w:rPr>
          <w:rFonts w:ascii="Arial" w:hAnsi="Arial" w:cs="Arial"/>
          <w:sz w:val="20"/>
          <w:szCs w:val="20"/>
        </w:rPr>
        <w:t xml:space="preserve">The total eating out market declined by -47.8% to just £47.7bn in 2020, with just 11.3 weeks of normal trading.  </w:t>
      </w:r>
      <w:r>
        <w:rPr>
          <w:rFonts w:ascii="Arial" w:hAnsi="Arial" w:cs="Arial"/>
          <w:sz w:val="20"/>
          <w:szCs w:val="20"/>
        </w:rPr>
        <w:t>M</w:t>
      </w:r>
      <w:r w:rsidRPr="002B740C">
        <w:rPr>
          <w:rFonts w:ascii="Arial" w:hAnsi="Arial" w:cs="Arial"/>
          <w:sz w:val="20"/>
          <w:szCs w:val="20"/>
        </w:rPr>
        <w:t xml:space="preserve">arket </w:t>
      </w:r>
      <w:r>
        <w:rPr>
          <w:rFonts w:ascii="Arial" w:hAnsi="Arial" w:cs="Arial"/>
          <w:sz w:val="20"/>
          <w:szCs w:val="20"/>
        </w:rPr>
        <w:t>recovery</w:t>
      </w:r>
      <w:r w:rsidRPr="002B740C">
        <w:rPr>
          <w:rFonts w:ascii="Arial" w:hAnsi="Arial" w:cs="Arial"/>
          <w:sz w:val="20"/>
          <w:szCs w:val="20"/>
        </w:rPr>
        <w:t xml:space="preserve"> in 2021 </w:t>
      </w:r>
      <w:r>
        <w:rPr>
          <w:rFonts w:ascii="Arial" w:hAnsi="Arial" w:cs="Arial"/>
          <w:sz w:val="20"/>
          <w:szCs w:val="20"/>
        </w:rPr>
        <w:t xml:space="preserve">has been stunted </w:t>
      </w:r>
      <w:r w:rsidRPr="002B740C">
        <w:rPr>
          <w:rFonts w:ascii="Arial" w:hAnsi="Arial" w:cs="Arial"/>
          <w:sz w:val="20"/>
          <w:szCs w:val="20"/>
        </w:rPr>
        <w:t>with closures at the beginning of the year for predominantly dine-in channels, with an expected 25 weeks of restriction-free trading.</w:t>
      </w:r>
    </w:p>
    <w:p w14:paraId="278C02D7" w14:textId="54C8FCEB" w:rsidR="002B740C" w:rsidRDefault="00130BE2" w:rsidP="008E5A63">
      <w:pPr>
        <w:rPr>
          <w:rFonts w:ascii="Arial" w:hAnsi="Arial" w:cs="Arial"/>
          <w:sz w:val="20"/>
          <w:szCs w:val="20"/>
        </w:rPr>
      </w:pPr>
      <w:r w:rsidRPr="00130BE2">
        <w:rPr>
          <w:rFonts w:ascii="Arial" w:hAnsi="Arial" w:cs="Arial"/>
          <w:sz w:val="20"/>
          <w:szCs w:val="20"/>
        </w:rPr>
        <w:t>The retail, travel &amp; leisure sub-segment of the total eating out market is expected to have the quickest turnover recover</w:t>
      </w:r>
      <w:r>
        <w:rPr>
          <w:rFonts w:ascii="Arial" w:hAnsi="Arial" w:cs="Arial"/>
          <w:sz w:val="20"/>
          <w:szCs w:val="20"/>
        </w:rPr>
        <w:t xml:space="preserve"> (+41.1% to £16.0bn)</w:t>
      </w:r>
      <w:r w:rsidRPr="00130BE2">
        <w:rPr>
          <w:rFonts w:ascii="Arial" w:hAnsi="Arial" w:cs="Arial"/>
          <w:sz w:val="20"/>
          <w:szCs w:val="20"/>
        </w:rPr>
        <w:t xml:space="preserve">, with </w:t>
      </w:r>
      <w:bookmarkStart w:id="0" w:name="_Hlk73546280"/>
      <w:r w:rsidRPr="00130BE2">
        <w:rPr>
          <w:rFonts w:ascii="Arial" w:hAnsi="Arial" w:cs="Arial"/>
          <w:sz w:val="20"/>
          <w:szCs w:val="20"/>
        </w:rPr>
        <w:t>on-the-go and relatively low-ticket channels well placed for takeaway operations and recessionary trading.</w:t>
      </w:r>
    </w:p>
    <w:bookmarkEnd w:id="0"/>
    <w:p w14:paraId="4A179408" w14:textId="6569BF0C" w:rsidR="00117161" w:rsidRDefault="00130BE2" w:rsidP="008E5A63">
      <w:pPr>
        <w:rPr>
          <w:rFonts w:ascii="Arial" w:hAnsi="Arial" w:cs="Arial"/>
          <w:sz w:val="20"/>
          <w:szCs w:val="20"/>
        </w:rPr>
      </w:pPr>
      <w:r w:rsidRPr="00130BE2">
        <w:rPr>
          <w:rFonts w:ascii="Arial" w:hAnsi="Arial" w:cs="Arial"/>
          <w:sz w:val="20"/>
          <w:szCs w:val="20"/>
        </w:rPr>
        <w:t xml:space="preserve">Hotels, </w:t>
      </w:r>
      <w:proofErr w:type="gramStart"/>
      <w:r w:rsidRPr="00130BE2">
        <w:rPr>
          <w:rFonts w:ascii="Arial" w:hAnsi="Arial" w:cs="Arial"/>
          <w:sz w:val="20"/>
          <w:szCs w:val="20"/>
        </w:rPr>
        <w:t>pubs</w:t>
      </w:r>
      <w:proofErr w:type="gramEnd"/>
      <w:r w:rsidRPr="00130BE2">
        <w:rPr>
          <w:rFonts w:ascii="Arial" w:hAnsi="Arial" w:cs="Arial"/>
          <w:sz w:val="20"/>
          <w:szCs w:val="20"/>
        </w:rPr>
        <w:t xml:space="preserve"> and restaurants is the largest sub-segment of the total eating out market by value and by outlets.  </w:t>
      </w:r>
      <w:r w:rsidR="00A3135A">
        <w:rPr>
          <w:rFonts w:ascii="Arial" w:hAnsi="Arial" w:cs="Arial"/>
          <w:sz w:val="20"/>
          <w:szCs w:val="20"/>
        </w:rPr>
        <w:t>This</w:t>
      </w:r>
      <w:r w:rsidRPr="00130BE2">
        <w:rPr>
          <w:rFonts w:ascii="Arial" w:hAnsi="Arial" w:cs="Arial"/>
          <w:sz w:val="20"/>
          <w:szCs w:val="20"/>
        </w:rPr>
        <w:t xml:space="preserve"> sub-segment is expected to recover to two thirds of its 2019 value in 2021</w:t>
      </w:r>
      <w:r>
        <w:rPr>
          <w:rFonts w:ascii="Arial" w:hAnsi="Arial" w:cs="Arial"/>
          <w:sz w:val="20"/>
          <w:szCs w:val="20"/>
        </w:rPr>
        <w:t xml:space="preserve"> (+32.1% to £44.8bn),</w:t>
      </w:r>
      <w:r w:rsidRPr="00130BE2">
        <w:rPr>
          <w:rFonts w:ascii="Arial" w:hAnsi="Arial" w:cs="Arial"/>
          <w:sz w:val="20"/>
          <w:szCs w:val="20"/>
        </w:rPr>
        <w:t xml:space="preserve"> with prolonged restrictions on indoor dining and travel limiting further recovery in 2021.</w:t>
      </w:r>
    </w:p>
    <w:p w14:paraId="76332677" w14:textId="489664AC" w:rsidR="00FF61BB" w:rsidRPr="00117161" w:rsidRDefault="00117161" w:rsidP="008E5A63">
      <w:pPr>
        <w:rPr>
          <w:rFonts w:ascii="Arial" w:hAnsi="Arial" w:cs="Arial"/>
          <w:sz w:val="20"/>
          <w:szCs w:val="20"/>
        </w:rPr>
      </w:pPr>
      <w:r>
        <w:rPr>
          <w:rFonts w:ascii="Arial" w:hAnsi="Arial" w:cs="Arial"/>
          <w:b/>
          <w:bCs/>
        </w:rPr>
        <w:t>Top 10 grow market share</w:t>
      </w:r>
    </w:p>
    <w:p w14:paraId="1F3AD38F" w14:textId="064DECFD" w:rsidR="00FB725D" w:rsidRDefault="00FB725D" w:rsidP="008E5A63">
      <w:pPr>
        <w:rPr>
          <w:rFonts w:ascii="Arial" w:hAnsi="Arial" w:cs="Arial"/>
          <w:sz w:val="20"/>
          <w:szCs w:val="20"/>
        </w:rPr>
      </w:pPr>
      <w:r w:rsidRPr="00FB725D">
        <w:rPr>
          <w:rFonts w:ascii="Arial" w:hAnsi="Arial" w:cs="Arial"/>
          <w:sz w:val="20"/>
          <w:szCs w:val="20"/>
        </w:rPr>
        <w:t xml:space="preserve">The top 10 eating out companies by turnover have increased their combined market share from 2019-2021F by +0.3ppts to 17.4% with a total value of £11.1bn.  Larger businesses can leverage the scale of </w:t>
      </w:r>
      <w:r w:rsidR="00A3135A">
        <w:rPr>
          <w:rFonts w:ascii="Arial" w:hAnsi="Arial" w:cs="Arial"/>
          <w:sz w:val="20"/>
          <w:szCs w:val="20"/>
        </w:rPr>
        <w:t xml:space="preserve">their </w:t>
      </w:r>
      <w:r w:rsidRPr="00FB725D">
        <w:rPr>
          <w:rFonts w:ascii="Arial" w:hAnsi="Arial" w:cs="Arial"/>
          <w:sz w:val="20"/>
          <w:szCs w:val="20"/>
        </w:rPr>
        <w:t xml:space="preserve">estates and resources to maintain high brand awareness and affinity. </w:t>
      </w:r>
    </w:p>
    <w:p w14:paraId="6C845409" w14:textId="38FE6A7C" w:rsidR="00FB725D" w:rsidRDefault="00FB725D" w:rsidP="008E5A63">
      <w:pPr>
        <w:rPr>
          <w:rFonts w:ascii="Arial" w:hAnsi="Arial" w:cs="Arial"/>
          <w:sz w:val="20"/>
          <w:szCs w:val="20"/>
        </w:rPr>
      </w:pPr>
      <w:r w:rsidRPr="00FB725D">
        <w:rPr>
          <w:rFonts w:ascii="Arial" w:hAnsi="Arial" w:cs="Arial"/>
          <w:sz w:val="20"/>
          <w:szCs w:val="20"/>
        </w:rPr>
        <w:t>Greggs was the only brand in the top 10 to grow share of outlets, achieving an average of +64 net new site openings per year across the 2019-2021F period.  Greggs has performed strongly with trend-led NPD and innovations including its digital loyalty scheme.</w:t>
      </w:r>
    </w:p>
    <w:p w14:paraId="7EE7357E" w14:textId="65F99D7A" w:rsidR="00493A4C" w:rsidRDefault="001D612C" w:rsidP="008E5A63">
      <w:pPr>
        <w:rPr>
          <w:rFonts w:ascii="Arial" w:hAnsi="Arial" w:cs="Arial"/>
          <w:b/>
          <w:bCs/>
        </w:rPr>
      </w:pPr>
      <w:r>
        <w:rPr>
          <w:rFonts w:ascii="Arial" w:hAnsi="Arial" w:cs="Arial"/>
          <w:b/>
          <w:bCs/>
        </w:rPr>
        <w:t>Two thirds miss eating out at restaurants</w:t>
      </w:r>
    </w:p>
    <w:p w14:paraId="233A5DE3" w14:textId="07A42D8A" w:rsidR="006120E6" w:rsidRDefault="006120E6" w:rsidP="00493A4C">
      <w:pPr>
        <w:rPr>
          <w:rFonts w:ascii="Arial" w:hAnsi="Arial" w:cs="Arial"/>
          <w:sz w:val="20"/>
          <w:szCs w:val="20"/>
        </w:rPr>
      </w:pPr>
      <w:r w:rsidRPr="006120E6">
        <w:rPr>
          <w:rFonts w:ascii="Arial" w:hAnsi="Arial" w:cs="Arial"/>
          <w:sz w:val="20"/>
          <w:szCs w:val="20"/>
        </w:rPr>
        <w:t>Eating out at a restaurant has been the second most missed activity of the last 12 months, second only to meeting others and closely followed by holidays.</w:t>
      </w:r>
      <w:r w:rsidR="00284E8B">
        <w:rPr>
          <w:rFonts w:ascii="Arial" w:hAnsi="Arial" w:cs="Arial"/>
          <w:sz w:val="20"/>
          <w:szCs w:val="20"/>
        </w:rPr>
        <w:t xml:space="preserve"> The top three missed activities are:</w:t>
      </w:r>
    </w:p>
    <w:p w14:paraId="4073AED8" w14:textId="3061763F" w:rsidR="00284E8B" w:rsidRDefault="00284E8B" w:rsidP="00284E8B">
      <w:pPr>
        <w:pStyle w:val="ListParagraph"/>
        <w:numPr>
          <w:ilvl w:val="0"/>
          <w:numId w:val="12"/>
        </w:numPr>
        <w:rPr>
          <w:rFonts w:ascii="Arial" w:hAnsi="Arial" w:cs="Arial"/>
          <w:sz w:val="20"/>
          <w:szCs w:val="20"/>
        </w:rPr>
      </w:pPr>
      <w:r>
        <w:rPr>
          <w:rFonts w:ascii="Arial" w:hAnsi="Arial" w:cs="Arial"/>
          <w:sz w:val="20"/>
          <w:szCs w:val="20"/>
        </w:rPr>
        <w:t>Meeting others – 69%</w:t>
      </w:r>
    </w:p>
    <w:p w14:paraId="26021D7E" w14:textId="0175BCC1" w:rsidR="00284E8B" w:rsidRDefault="00284E8B" w:rsidP="00284E8B">
      <w:pPr>
        <w:pStyle w:val="ListParagraph"/>
        <w:numPr>
          <w:ilvl w:val="0"/>
          <w:numId w:val="12"/>
        </w:numPr>
        <w:rPr>
          <w:rFonts w:ascii="Arial" w:hAnsi="Arial" w:cs="Arial"/>
          <w:sz w:val="20"/>
          <w:szCs w:val="20"/>
        </w:rPr>
      </w:pPr>
      <w:r>
        <w:rPr>
          <w:rFonts w:ascii="Arial" w:hAnsi="Arial" w:cs="Arial"/>
          <w:sz w:val="20"/>
          <w:szCs w:val="20"/>
        </w:rPr>
        <w:t>Eating at a restaurant – 67%</w:t>
      </w:r>
    </w:p>
    <w:p w14:paraId="1CD6DE08" w14:textId="5770EC74" w:rsidR="00284E8B" w:rsidRPr="00284E8B" w:rsidRDefault="00284E8B" w:rsidP="00284E8B">
      <w:pPr>
        <w:pStyle w:val="ListParagraph"/>
        <w:numPr>
          <w:ilvl w:val="0"/>
          <w:numId w:val="12"/>
        </w:numPr>
        <w:rPr>
          <w:rFonts w:ascii="Arial" w:hAnsi="Arial" w:cs="Arial"/>
          <w:sz w:val="20"/>
          <w:szCs w:val="20"/>
        </w:rPr>
      </w:pPr>
      <w:r>
        <w:rPr>
          <w:rFonts w:ascii="Arial" w:hAnsi="Arial" w:cs="Arial"/>
          <w:sz w:val="20"/>
          <w:szCs w:val="20"/>
        </w:rPr>
        <w:t>Holidays – 66%</w:t>
      </w:r>
    </w:p>
    <w:p w14:paraId="0EC398B9" w14:textId="5031197B" w:rsidR="006120E6" w:rsidRDefault="006120E6" w:rsidP="00493A4C">
      <w:pPr>
        <w:rPr>
          <w:rFonts w:ascii="Arial" w:hAnsi="Arial" w:cs="Arial"/>
          <w:sz w:val="20"/>
          <w:szCs w:val="20"/>
        </w:rPr>
      </w:pPr>
      <w:r w:rsidRPr="006120E6">
        <w:rPr>
          <w:rFonts w:ascii="Arial" w:hAnsi="Arial" w:cs="Arial"/>
          <w:sz w:val="20"/>
          <w:szCs w:val="20"/>
        </w:rPr>
        <w:t xml:space="preserve">A record number of tables were booked on The Fork (formerly </w:t>
      </w:r>
      <w:proofErr w:type="spellStart"/>
      <w:r w:rsidRPr="006120E6">
        <w:rPr>
          <w:rFonts w:ascii="Arial" w:hAnsi="Arial" w:cs="Arial"/>
          <w:sz w:val="20"/>
          <w:szCs w:val="20"/>
        </w:rPr>
        <w:t>Bookatable</w:t>
      </w:r>
      <w:proofErr w:type="spellEnd"/>
      <w:r w:rsidRPr="006120E6">
        <w:rPr>
          <w:rFonts w:ascii="Arial" w:hAnsi="Arial" w:cs="Arial"/>
          <w:sz w:val="20"/>
          <w:szCs w:val="20"/>
        </w:rPr>
        <w:t>) for 19th May (reopening of indoor hospitality) – 12% more than on any date since July 2020 and with a staycation boom expected in summer 2021, eating out venues in popular holidaymaker areas are expected to reap the benefits</w:t>
      </w:r>
    </w:p>
    <w:p w14:paraId="0B7A1CEE" w14:textId="78D7A732" w:rsidR="005C7794" w:rsidRDefault="005C7794" w:rsidP="009D7AE0">
      <w:pPr>
        <w:rPr>
          <w:rFonts w:ascii="Arial" w:hAnsi="Arial" w:cs="Arial"/>
          <w:b/>
          <w:bCs/>
        </w:rPr>
      </w:pPr>
      <w:r w:rsidRPr="005C7794">
        <w:rPr>
          <w:rFonts w:ascii="Arial" w:hAnsi="Arial" w:cs="Arial"/>
          <w:b/>
          <w:bCs/>
        </w:rPr>
        <w:t xml:space="preserve">Managed, branded &amp; franchised pubs and fast food to drive </w:t>
      </w:r>
      <w:r>
        <w:rPr>
          <w:rFonts w:ascii="Arial" w:hAnsi="Arial" w:cs="Arial"/>
          <w:b/>
          <w:bCs/>
        </w:rPr>
        <w:t xml:space="preserve">future </w:t>
      </w:r>
      <w:r w:rsidRPr="005C7794">
        <w:rPr>
          <w:rFonts w:ascii="Arial" w:hAnsi="Arial" w:cs="Arial"/>
          <w:b/>
          <w:bCs/>
        </w:rPr>
        <w:t>market growth</w:t>
      </w:r>
    </w:p>
    <w:p w14:paraId="0C11F798" w14:textId="5C682C82" w:rsidR="005C7794" w:rsidRDefault="005C7794" w:rsidP="008E5A63">
      <w:pPr>
        <w:rPr>
          <w:rFonts w:ascii="Arial" w:hAnsi="Arial" w:cs="Arial"/>
          <w:sz w:val="20"/>
          <w:szCs w:val="20"/>
        </w:rPr>
      </w:pPr>
      <w:r w:rsidRPr="005C7794">
        <w:rPr>
          <w:rFonts w:ascii="Arial" w:hAnsi="Arial" w:cs="Arial"/>
          <w:sz w:val="20"/>
          <w:szCs w:val="20"/>
        </w:rPr>
        <w:t>The total eating out market is set to grow by +1.2% from 2022F-2024F, an improvement from the +0.9% growth seen from 2017-2019.</w:t>
      </w:r>
    </w:p>
    <w:p w14:paraId="23805856" w14:textId="30536283" w:rsidR="006247CE" w:rsidRDefault="006247CE" w:rsidP="008E5A63">
      <w:pPr>
        <w:rPr>
          <w:rFonts w:ascii="Arial" w:hAnsi="Arial" w:cs="Arial"/>
          <w:sz w:val="20"/>
          <w:szCs w:val="20"/>
        </w:rPr>
      </w:pPr>
      <w:r w:rsidRPr="006247CE">
        <w:rPr>
          <w:rFonts w:ascii="Arial" w:hAnsi="Arial" w:cs="Arial"/>
          <w:sz w:val="20"/>
          <w:szCs w:val="20"/>
        </w:rPr>
        <w:t>Managed, branded and franchised pubs</w:t>
      </w:r>
      <w:r>
        <w:rPr>
          <w:rFonts w:ascii="Arial" w:hAnsi="Arial" w:cs="Arial"/>
          <w:sz w:val="20"/>
          <w:szCs w:val="20"/>
        </w:rPr>
        <w:t>,</w:t>
      </w:r>
      <w:r w:rsidRPr="006247CE">
        <w:rPr>
          <w:rFonts w:ascii="Arial" w:hAnsi="Arial" w:cs="Arial"/>
          <w:sz w:val="20"/>
          <w:szCs w:val="20"/>
        </w:rPr>
        <w:t xml:space="preserve"> as well as traditional fast food outlets</w:t>
      </w:r>
      <w:r>
        <w:rPr>
          <w:rFonts w:ascii="Arial" w:hAnsi="Arial" w:cs="Arial"/>
          <w:sz w:val="20"/>
          <w:szCs w:val="20"/>
        </w:rPr>
        <w:t>,</w:t>
      </w:r>
      <w:r w:rsidRPr="006247CE">
        <w:rPr>
          <w:rFonts w:ascii="Arial" w:hAnsi="Arial" w:cs="Arial"/>
          <w:sz w:val="20"/>
          <w:szCs w:val="20"/>
        </w:rPr>
        <w:t xml:space="preserve"> are set to lead absolute value growth in the market during this period, with pubs driving sales through refurbishments and premiumisation and fast food growing through new space, tech-led innovation and further delivery capacity.  </w:t>
      </w:r>
    </w:p>
    <w:p w14:paraId="2F95E063" w14:textId="53E2C74F" w:rsidR="00D07C64" w:rsidRDefault="001C257C" w:rsidP="008E5A63">
      <w:pPr>
        <w:rPr>
          <w:rFonts w:ascii="Arial" w:hAnsi="Arial" w:cs="Arial"/>
          <w:i/>
          <w:iCs/>
          <w:sz w:val="20"/>
          <w:szCs w:val="20"/>
        </w:rPr>
      </w:pPr>
      <w:r>
        <w:rPr>
          <w:rFonts w:ascii="Arial" w:hAnsi="Arial" w:cs="Arial"/>
          <w:sz w:val="20"/>
          <w:szCs w:val="20"/>
        </w:rPr>
        <w:t>Commenting on the results, Blonnie Whist, Insight</w:t>
      </w:r>
      <w:r w:rsidR="006247CE">
        <w:rPr>
          <w:rFonts w:ascii="Arial" w:hAnsi="Arial" w:cs="Arial"/>
          <w:sz w:val="20"/>
          <w:szCs w:val="20"/>
        </w:rPr>
        <w:t xml:space="preserve"> Director</w:t>
      </w:r>
      <w:r>
        <w:rPr>
          <w:rFonts w:ascii="Arial" w:hAnsi="Arial" w:cs="Arial"/>
          <w:sz w:val="20"/>
          <w:szCs w:val="20"/>
        </w:rPr>
        <w:t xml:space="preserve"> at Lumina Intelligence said, </w:t>
      </w:r>
      <w:r w:rsidRPr="00E362CA">
        <w:rPr>
          <w:rFonts w:ascii="Arial" w:hAnsi="Arial" w:cs="Arial"/>
          <w:i/>
          <w:iCs/>
          <w:sz w:val="20"/>
          <w:szCs w:val="20"/>
        </w:rPr>
        <w:t>“</w:t>
      </w:r>
      <w:r w:rsidR="007716CF" w:rsidRPr="00E362CA">
        <w:rPr>
          <w:rFonts w:ascii="Arial" w:hAnsi="Arial" w:cs="Arial"/>
          <w:i/>
          <w:iCs/>
          <w:sz w:val="20"/>
          <w:szCs w:val="20"/>
        </w:rPr>
        <w:t xml:space="preserve">With </w:t>
      </w:r>
      <w:r w:rsidR="00FE3E28">
        <w:rPr>
          <w:rFonts w:ascii="Arial" w:hAnsi="Arial" w:cs="Arial"/>
          <w:i/>
          <w:iCs/>
          <w:sz w:val="20"/>
          <w:szCs w:val="20"/>
        </w:rPr>
        <w:t xml:space="preserve">all restrictions on the hospitality </w:t>
      </w:r>
      <w:r w:rsidR="00D07C64">
        <w:rPr>
          <w:rFonts w:ascii="Arial" w:hAnsi="Arial" w:cs="Arial"/>
          <w:i/>
          <w:iCs/>
          <w:sz w:val="20"/>
          <w:szCs w:val="20"/>
        </w:rPr>
        <w:t xml:space="preserve">sector set to end in June, attention now turns to market recovery. In the interim, we will see slight polarisation between channels, with </w:t>
      </w:r>
      <w:r w:rsidR="00D07C64" w:rsidRPr="00D07C64">
        <w:rPr>
          <w:rFonts w:ascii="Arial" w:hAnsi="Arial" w:cs="Arial"/>
          <w:i/>
          <w:iCs/>
          <w:sz w:val="20"/>
          <w:szCs w:val="20"/>
        </w:rPr>
        <w:t xml:space="preserve">on-the-go and relatively low-ticket </w:t>
      </w:r>
      <w:r w:rsidR="00D07C64">
        <w:rPr>
          <w:rFonts w:ascii="Arial" w:hAnsi="Arial" w:cs="Arial"/>
          <w:i/>
          <w:iCs/>
          <w:sz w:val="20"/>
          <w:szCs w:val="20"/>
        </w:rPr>
        <w:t>solutions</w:t>
      </w:r>
      <w:r w:rsidR="00D07C64" w:rsidRPr="00D07C64">
        <w:rPr>
          <w:rFonts w:ascii="Arial" w:hAnsi="Arial" w:cs="Arial"/>
          <w:i/>
          <w:iCs/>
          <w:sz w:val="20"/>
          <w:szCs w:val="20"/>
        </w:rPr>
        <w:t xml:space="preserve"> well placed</w:t>
      </w:r>
      <w:r w:rsidR="00D07C64">
        <w:rPr>
          <w:rFonts w:ascii="Arial" w:hAnsi="Arial" w:cs="Arial"/>
          <w:i/>
          <w:iCs/>
          <w:sz w:val="20"/>
          <w:szCs w:val="20"/>
        </w:rPr>
        <w:t xml:space="preserve"> to continue to capitalise on demand for</w:t>
      </w:r>
      <w:r w:rsidR="00D07C64" w:rsidRPr="00D07C64">
        <w:rPr>
          <w:rFonts w:ascii="Arial" w:hAnsi="Arial" w:cs="Arial"/>
          <w:i/>
          <w:iCs/>
          <w:sz w:val="20"/>
          <w:szCs w:val="20"/>
        </w:rPr>
        <w:t xml:space="preserve"> takeaway</w:t>
      </w:r>
      <w:r w:rsidR="00D07C64">
        <w:rPr>
          <w:rFonts w:ascii="Arial" w:hAnsi="Arial" w:cs="Arial"/>
          <w:i/>
          <w:iCs/>
          <w:sz w:val="20"/>
          <w:szCs w:val="20"/>
        </w:rPr>
        <w:t>, as well as combat any r</w:t>
      </w:r>
      <w:r w:rsidR="00D07C64" w:rsidRPr="00D07C64">
        <w:rPr>
          <w:rFonts w:ascii="Arial" w:hAnsi="Arial" w:cs="Arial"/>
          <w:i/>
          <w:iCs/>
          <w:sz w:val="20"/>
          <w:szCs w:val="20"/>
        </w:rPr>
        <w:t>ecessionary trading.</w:t>
      </w:r>
      <w:r w:rsidR="00D07C64">
        <w:rPr>
          <w:rFonts w:ascii="Arial" w:hAnsi="Arial" w:cs="Arial"/>
          <w:i/>
          <w:iCs/>
          <w:sz w:val="20"/>
          <w:szCs w:val="20"/>
        </w:rPr>
        <w:t>”</w:t>
      </w:r>
    </w:p>
    <w:p w14:paraId="68874F62" w14:textId="2D8C1080" w:rsidR="00493A4C" w:rsidRDefault="00BE00D3" w:rsidP="008E5A63">
      <w:pPr>
        <w:rPr>
          <w:rFonts w:ascii="Arial" w:hAnsi="Arial" w:cs="Arial"/>
          <w:sz w:val="20"/>
          <w:szCs w:val="20"/>
        </w:rPr>
      </w:pPr>
      <w:r>
        <w:rPr>
          <w:rFonts w:ascii="Arial" w:hAnsi="Arial" w:cs="Arial"/>
          <w:i/>
          <w:iCs/>
          <w:sz w:val="20"/>
          <w:szCs w:val="20"/>
        </w:rPr>
        <w:t>“</w:t>
      </w:r>
      <w:r w:rsidR="00437579" w:rsidRPr="00437579">
        <w:rPr>
          <w:rFonts w:ascii="Arial" w:hAnsi="Arial" w:cs="Arial"/>
          <w:i/>
          <w:iCs/>
          <w:sz w:val="20"/>
          <w:szCs w:val="20"/>
        </w:rPr>
        <w:t>Hotels, pubs and restaurants</w:t>
      </w:r>
      <w:r w:rsidR="00437579">
        <w:rPr>
          <w:rFonts w:ascii="Arial" w:hAnsi="Arial" w:cs="Arial"/>
          <w:i/>
          <w:iCs/>
          <w:sz w:val="20"/>
          <w:szCs w:val="20"/>
        </w:rPr>
        <w:t xml:space="preserve"> are set for a slower recovery, as prolonged restrictions on indoor dining and limited travel hamper 2021 trading. However, between 2022-24 there is a £3.1bn growth prize for operators to target. Managed, branded and franchised pubs are set to be the biggest beneficiaries of this, with growth of £663m expected</w:t>
      </w:r>
      <w:r w:rsidR="008B3101">
        <w:rPr>
          <w:rFonts w:ascii="Arial" w:hAnsi="Arial" w:cs="Arial"/>
          <w:i/>
          <w:iCs/>
          <w:sz w:val="20"/>
          <w:szCs w:val="20"/>
        </w:rPr>
        <w:t>.”</w:t>
      </w:r>
    </w:p>
    <w:p w14:paraId="37CCD9B8" w14:textId="2707B1DD"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3C76B791" w14:textId="77777777" w:rsidR="0049573C" w:rsidRPr="0049573C" w:rsidRDefault="0049573C" w:rsidP="0049573C">
      <w:pPr>
        <w:rPr>
          <w:rFonts w:ascii="Arial" w:hAnsi="Arial" w:cs="Arial"/>
          <w:sz w:val="20"/>
          <w:szCs w:val="20"/>
        </w:rPr>
      </w:pPr>
      <w:r w:rsidRPr="0049573C">
        <w:rPr>
          <w:rFonts w:ascii="Arial" w:hAnsi="Arial" w:cs="Arial"/>
          <w:sz w:val="20"/>
          <w:szCs w:val="20"/>
        </w:rPr>
        <w:t>The Lumina Intelligence UK Eating Out Report 2021 is the trusted source of insight for UK leading manufacturers and operators.</w:t>
      </w:r>
    </w:p>
    <w:p w14:paraId="354366F1" w14:textId="43DA9B32" w:rsidR="0049573C" w:rsidRDefault="0049573C" w:rsidP="0049573C">
      <w:pPr>
        <w:rPr>
          <w:rFonts w:ascii="Arial" w:hAnsi="Arial" w:cs="Arial"/>
          <w:sz w:val="20"/>
          <w:szCs w:val="20"/>
        </w:rPr>
      </w:pPr>
      <w:r>
        <w:rPr>
          <w:rFonts w:ascii="Arial" w:hAnsi="Arial" w:cs="Arial"/>
          <w:sz w:val="20"/>
          <w:szCs w:val="20"/>
        </w:rPr>
        <w:t>The report methodology includes:</w:t>
      </w:r>
    </w:p>
    <w:p w14:paraId="76713B5F" w14:textId="416959A8" w:rsidR="0049573C" w:rsidRPr="0049573C" w:rsidRDefault="0049573C" w:rsidP="0049573C">
      <w:pPr>
        <w:pStyle w:val="ListParagraph"/>
        <w:numPr>
          <w:ilvl w:val="0"/>
          <w:numId w:val="11"/>
        </w:numPr>
        <w:rPr>
          <w:rFonts w:ascii="Arial" w:hAnsi="Arial" w:cs="Arial"/>
          <w:sz w:val="20"/>
          <w:szCs w:val="20"/>
        </w:rPr>
      </w:pPr>
      <w:r w:rsidRPr="0049573C">
        <w:rPr>
          <w:rFonts w:ascii="Arial" w:hAnsi="Arial" w:cs="Arial"/>
          <w:sz w:val="20"/>
          <w:szCs w:val="20"/>
        </w:rPr>
        <w:t>Consumer eating out behaviour data based on 78,000 surveys across the year from Lumina Intelligence’s Eating &amp; Drinking Out Panel.</w:t>
      </w:r>
    </w:p>
    <w:p w14:paraId="0AF441BE" w14:textId="5F35D744" w:rsidR="0049573C" w:rsidRPr="0049573C" w:rsidRDefault="0049573C" w:rsidP="0049573C">
      <w:pPr>
        <w:pStyle w:val="ListParagraph"/>
        <w:numPr>
          <w:ilvl w:val="0"/>
          <w:numId w:val="11"/>
        </w:numPr>
        <w:rPr>
          <w:rFonts w:ascii="Arial" w:hAnsi="Arial" w:cs="Arial"/>
          <w:sz w:val="20"/>
          <w:szCs w:val="20"/>
        </w:rPr>
      </w:pPr>
      <w:r w:rsidRPr="0049573C">
        <w:rPr>
          <w:rFonts w:ascii="Arial" w:hAnsi="Arial" w:cs="Arial"/>
          <w:sz w:val="20"/>
          <w:szCs w:val="20"/>
        </w:rPr>
        <w:t>Extracts from Lumina Intelligence Operator Data Index and synthesis with wider market sizing databases.</w:t>
      </w:r>
    </w:p>
    <w:p w14:paraId="25D77DB5" w14:textId="770009A6" w:rsidR="0049573C" w:rsidRPr="0049573C" w:rsidRDefault="0049573C" w:rsidP="0049573C">
      <w:pPr>
        <w:pStyle w:val="ListParagraph"/>
        <w:numPr>
          <w:ilvl w:val="0"/>
          <w:numId w:val="11"/>
        </w:numPr>
        <w:rPr>
          <w:rFonts w:ascii="Arial" w:hAnsi="Arial" w:cs="Arial"/>
          <w:sz w:val="20"/>
          <w:szCs w:val="20"/>
        </w:rPr>
      </w:pPr>
      <w:r w:rsidRPr="0049573C">
        <w:rPr>
          <w:rFonts w:ascii="Arial" w:hAnsi="Arial" w:cs="Arial"/>
          <w:sz w:val="20"/>
          <w:szCs w:val="20"/>
        </w:rPr>
        <w:t>A bespoke consumer survey analysing attitudes towards eating out and what the impact of the coronavirus will be on future intentions to eat out</w:t>
      </w:r>
    </w:p>
    <w:p w14:paraId="3480AC66" w14:textId="41D23B0F" w:rsidR="0049573C" w:rsidRPr="0049573C" w:rsidRDefault="0049573C" w:rsidP="0049573C">
      <w:pPr>
        <w:pStyle w:val="ListParagraph"/>
        <w:numPr>
          <w:ilvl w:val="0"/>
          <w:numId w:val="11"/>
        </w:numPr>
        <w:rPr>
          <w:rFonts w:ascii="Arial" w:hAnsi="Arial" w:cs="Arial"/>
          <w:sz w:val="20"/>
          <w:szCs w:val="20"/>
        </w:rPr>
      </w:pPr>
      <w:r w:rsidRPr="0049573C">
        <w:rPr>
          <w:rFonts w:ascii="Arial" w:hAnsi="Arial" w:cs="Arial"/>
          <w:sz w:val="20"/>
          <w:szCs w:val="20"/>
        </w:rPr>
        <w:t>Desk research: news articles and trade press, company websites and industry associations.</w:t>
      </w:r>
    </w:p>
    <w:p w14:paraId="4CEA97D8" w14:textId="03D8F533" w:rsidR="00ED3ABD" w:rsidRPr="00E362CA" w:rsidRDefault="00ED3ABD" w:rsidP="0049573C">
      <w:pPr>
        <w:rPr>
          <w:rFonts w:ascii="Arial" w:hAnsi="Arial" w:cs="Arial"/>
          <w:b/>
          <w:bCs/>
          <w:sz w:val="20"/>
          <w:szCs w:val="20"/>
        </w:rPr>
      </w:pPr>
      <w:r w:rsidRPr="00E362CA">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Pr="001249C3">
        <w:rPr>
          <w:rFonts w:ascii="Arial" w:hAnsi="Arial" w:cs="Arial"/>
          <w:sz w:val="20"/>
          <w:szCs w:val="20"/>
        </w:rPr>
        <w:t>marketing</w:t>
      </w:r>
      <w:proofErr w:type="gramEnd"/>
      <w:r w:rsidRPr="001249C3">
        <w:rPr>
          <w:rFonts w:ascii="Arial" w:hAnsi="Arial" w:cs="Arial"/>
          <w:sz w:val="20"/>
          <w:szCs w:val="20"/>
        </w:rPr>
        <w:t xml:space="preserve">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2B747C" w:rsidP="001249C3">
      <w:pPr>
        <w:rPr>
          <w:rFonts w:ascii="Arial" w:hAnsi="Arial" w:cs="Arial"/>
          <w:sz w:val="20"/>
          <w:szCs w:val="20"/>
        </w:rPr>
      </w:pPr>
      <w:hyperlink r:id="rId9"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E1FCF" w14:textId="77777777" w:rsidR="0036362F" w:rsidRDefault="0036362F" w:rsidP="006247CE">
      <w:pPr>
        <w:spacing w:after="0" w:line="240" w:lineRule="auto"/>
      </w:pPr>
      <w:r>
        <w:separator/>
      </w:r>
    </w:p>
  </w:endnote>
  <w:endnote w:type="continuationSeparator" w:id="0">
    <w:p w14:paraId="6D355E92" w14:textId="77777777" w:rsidR="0036362F" w:rsidRDefault="0036362F" w:rsidP="00624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11E11" w14:textId="77777777" w:rsidR="0036362F" w:rsidRDefault="0036362F" w:rsidP="006247CE">
      <w:pPr>
        <w:spacing w:after="0" w:line="240" w:lineRule="auto"/>
      </w:pPr>
      <w:r>
        <w:separator/>
      </w:r>
    </w:p>
  </w:footnote>
  <w:footnote w:type="continuationSeparator" w:id="0">
    <w:p w14:paraId="201617BD" w14:textId="77777777" w:rsidR="0036362F" w:rsidRDefault="0036362F" w:rsidP="006247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145C9"/>
    <w:multiLevelType w:val="hybridMultilevel"/>
    <w:tmpl w:val="C6E4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7345C"/>
    <w:multiLevelType w:val="hybridMultilevel"/>
    <w:tmpl w:val="BE14A9B4"/>
    <w:lvl w:ilvl="0" w:tplc="EDE027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53443"/>
    <w:multiLevelType w:val="hybridMultilevel"/>
    <w:tmpl w:val="722EE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0706AC"/>
    <w:multiLevelType w:val="hybridMultilevel"/>
    <w:tmpl w:val="3600F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301813"/>
    <w:multiLevelType w:val="hybridMultilevel"/>
    <w:tmpl w:val="ABB2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7E268D"/>
    <w:multiLevelType w:val="hybridMultilevel"/>
    <w:tmpl w:val="526C8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1D330E"/>
    <w:multiLevelType w:val="hybridMultilevel"/>
    <w:tmpl w:val="AA4A5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0"/>
  </w:num>
  <w:num w:numId="4">
    <w:abstractNumId w:val="7"/>
  </w:num>
  <w:num w:numId="5">
    <w:abstractNumId w:val="3"/>
  </w:num>
  <w:num w:numId="6">
    <w:abstractNumId w:val="8"/>
  </w:num>
  <w:num w:numId="7">
    <w:abstractNumId w:val="0"/>
  </w:num>
  <w:num w:numId="8">
    <w:abstractNumId w:val="11"/>
  </w:num>
  <w:num w:numId="9">
    <w:abstractNumId w:val="2"/>
  </w:num>
  <w:num w:numId="10">
    <w:abstractNumId w:val="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540D1"/>
    <w:rsid w:val="00072404"/>
    <w:rsid w:val="000C14C9"/>
    <w:rsid w:val="000D72C7"/>
    <w:rsid w:val="000F1972"/>
    <w:rsid w:val="00113451"/>
    <w:rsid w:val="00116246"/>
    <w:rsid w:val="00117161"/>
    <w:rsid w:val="001249C3"/>
    <w:rsid w:val="00130BE2"/>
    <w:rsid w:val="001B2875"/>
    <w:rsid w:val="001C257C"/>
    <w:rsid w:val="001C2E4F"/>
    <w:rsid w:val="001C50C1"/>
    <w:rsid w:val="001C589F"/>
    <w:rsid w:val="001C5B98"/>
    <w:rsid w:val="001C65B6"/>
    <w:rsid w:val="001D612C"/>
    <w:rsid w:val="0020205C"/>
    <w:rsid w:val="00214D95"/>
    <w:rsid w:val="00217EE3"/>
    <w:rsid w:val="00261F91"/>
    <w:rsid w:val="002723AE"/>
    <w:rsid w:val="00284E8B"/>
    <w:rsid w:val="00285BD0"/>
    <w:rsid w:val="002A0F0F"/>
    <w:rsid w:val="002A1E6A"/>
    <w:rsid w:val="002B740C"/>
    <w:rsid w:val="002B747C"/>
    <w:rsid w:val="002F0BB4"/>
    <w:rsid w:val="002F7EAF"/>
    <w:rsid w:val="00302E10"/>
    <w:rsid w:val="00332724"/>
    <w:rsid w:val="00345B52"/>
    <w:rsid w:val="00363346"/>
    <w:rsid w:val="0036362F"/>
    <w:rsid w:val="003C4BB2"/>
    <w:rsid w:val="003E204B"/>
    <w:rsid w:val="003E4324"/>
    <w:rsid w:val="003F621E"/>
    <w:rsid w:val="00407BDB"/>
    <w:rsid w:val="00437579"/>
    <w:rsid w:val="0044412F"/>
    <w:rsid w:val="00471332"/>
    <w:rsid w:val="00493A4C"/>
    <w:rsid w:val="0049573C"/>
    <w:rsid w:val="004B1277"/>
    <w:rsid w:val="004B3902"/>
    <w:rsid w:val="004D23F6"/>
    <w:rsid w:val="004E551E"/>
    <w:rsid w:val="004F1FF8"/>
    <w:rsid w:val="004F62D9"/>
    <w:rsid w:val="00511B5A"/>
    <w:rsid w:val="00550B08"/>
    <w:rsid w:val="0055150D"/>
    <w:rsid w:val="00553497"/>
    <w:rsid w:val="00566CAE"/>
    <w:rsid w:val="005B7B3F"/>
    <w:rsid w:val="005C0F44"/>
    <w:rsid w:val="005C7794"/>
    <w:rsid w:val="005E7052"/>
    <w:rsid w:val="00604B4A"/>
    <w:rsid w:val="006120E6"/>
    <w:rsid w:val="006247CE"/>
    <w:rsid w:val="0064548D"/>
    <w:rsid w:val="0064772D"/>
    <w:rsid w:val="00664850"/>
    <w:rsid w:val="006B7F83"/>
    <w:rsid w:val="006D1829"/>
    <w:rsid w:val="006E735F"/>
    <w:rsid w:val="006E79FF"/>
    <w:rsid w:val="00720ABB"/>
    <w:rsid w:val="007221DF"/>
    <w:rsid w:val="007229E3"/>
    <w:rsid w:val="007446FD"/>
    <w:rsid w:val="00755025"/>
    <w:rsid w:val="0076037A"/>
    <w:rsid w:val="007716CF"/>
    <w:rsid w:val="007B4F7A"/>
    <w:rsid w:val="007F3C85"/>
    <w:rsid w:val="008249B4"/>
    <w:rsid w:val="008276B8"/>
    <w:rsid w:val="00846DDB"/>
    <w:rsid w:val="00862CCB"/>
    <w:rsid w:val="008852CE"/>
    <w:rsid w:val="008A46AD"/>
    <w:rsid w:val="008B3101"/>
    <w:rsid w:val="008D4655"/>
    <w:rsid w:val="008E317A"/>
    <w:rsid w:val="008E5A63"/>
    <w:rsid w:val="00906A89"/>
    <w:rsid w:val="0094762B"/>
    <w:rsid w:val="00976FE8"/>
    <w:rsid w:val="009A17EF"/>
    <w:rsid w:val="009A6775"/>
    <w:rsid w:val="009C613A"/>
    <w:rsid w:val="009D1543"/>
    <w:rsid w:val="009D7AE0"/>
    <w:rsid w:val="00A3135A"/>
    <w:rsid w:val="00A95E5C"/>
    <w:rsid w:val="00AA3F19"/>
    <w:rsid w:val="00AB3399"/>
    <w:rsid w:val="00AD236E"/>
    <w:rsid w:val="00AE6B2F"/>
    <w:rsid w:val="00B03B5B"/>
    <w:rsid w:val="00B06987"/>
    <w:rsid w:val="00B06B5C"/>
    <w:rsid w:val="00B414CE"/>
    <w:rsid w:val="00B46E6F"/>
    <w:rsid w:val="00B94AC2"/>
    <w:rsid w:val="00BA596C"/>
    <w:rsid w:val="00BB4747"/>
    <w:rsid w:val="00BC0036"/>
    <w:rsid w:val="00BE00D3"/>
    <w:rsid w:val="00BF4DC8"/>
    <w:rsid w:val="00C04D48"/>
    <w:rsid w:val="00C16ADB"/>
    <w:rsid w:val="00C270FD"/>
    <w:rsid w:val="00C273A6"/>
    <w:rsid w:val="00C30C1F"/>
    <w:rsid w:val="00C545F0"/>
    <w:rsid w:val="00C77C17"/>
    <w:rsid w:val="00C86028"/>
    <w:rsid w:val="00CB101B"/>
    <w:rsid w:val="00CB38ED"/>
    <w:rsid w:val="00CE6B8A"/>
    <w:rsid w:val="00D07C64"/>
    <w:rsid w:val="00D25202"/>
    <w:rsid w:val="00D30793"/>
    <w:rsid w:val="00D308D1"/>
    <w:rsid w:val="00D36AF3"/>
    <w:rsid w:val="00D81C35"/>
    <w:rsid w:val="00DA3FA1"/>
    <w:rsid w:val="00DB2AFC"/>
    <w:rsid w:val="00DD5EEB"/>
    <w:rsid w:val="00E214AC"/>
    <w:rsid w:val="00E362CA"/>
    <w:rsid w:val="00E56A95"/>
    <w:rsid w:val="00E6199F"/>
    <w:rsid w:val="00E72427"/>
    <w:rsid w:val="00E734FF"/>
    <w:rsid w:val="00E975B9"/>
    <w:rsid w:val="00EA1B39"/>
    <w:rsid w:val="00EC455C"/>
    <w:rsid w:val="00ED0369"/>
    <w:rsid w:val="00ED2C5E"/>
    <w:rsid w:val="00ED3ABD"/>
    <w:rsid w:val="00EE59D7"/>
    <w:rsid w:val="00F16921"/>
    <w:rsid w:val="00F30CBB"/>
    <w:rsid w:val="00F43C71"/>
    <w:rsid w:val="00FB725D"/>
    <w:rsid w:val="00FB7D7E"/>
    <w:rsid w:val="00FC1A9F"/>
    <w:rsid w:val="00FE3E28"/>
    <w:rsid w:val="00FF6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Header">
    <w:name w:val="header"/>
    <w:basedOn w:val="Normal"/>
    <w:link w:val="HeaderChar"/>
    <w:uiPriority w:val="99"/>
    <w:unhideWhenUsed/>
    <w:rsid w:val="006247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7CE"/>
  </w:style>
  <w:style w:type="paragraph" w:styleId="Footer">
    <w:name w:val="footer"/>
    <w:basedOn w:val="Normal"/>
    <w:link w:val="FooterChar"/>
    <w:uiPriority w:val="99"/>
    <w:unhideWhenUsed/>
    <w:rsid w:val="006247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orgio.rigali@lumina-intelligence.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umina-intellig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5</cp:revision>
  <dcterms:created xsi:type="dcterms:W3CDTF">2021-06-03T08:34:00Z</dcterms:created>
  <dcterms:modified xsi:type="dcterms:W3CDTF">2021-06-03T13:49:00Z</dcterms:modified>
</cp:coreProperties>
</file>