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CD419B"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359067B" w:rsidR="00ED3ABD" w:rsidRPr="00550B08" w:rsidRDefault="00CD419B"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 xml:space="preserve">01 July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20105AB1" w14:textId="16424727" w:rsidR="000809E0" w:rsidRDefault="009400D0" w:rsidP="009400D0">
      <w:pPr>
        <w:jc w:val="center"/>
        <w:rPr>
          <w:rFonts w:ascii="Arial" w:hAnsi="Arial" w:cs="Arial"/>
          <w:b/>
          <w:bCs/>
          <w:sz w:val="32"/>
          <w:szCs w:val="32"/>
        </w:rPr>
      </w:pPr>
      <w:r w:rsidRPr="009400D0">
        <w:rPr>
          <w:rFonts w:ascii="Arial" w:hAnsi="Arial" w:cs="Arial"/>
          <w:b/>
          <w:bCs/>
          <w:sz w:val="32"/>
          <w:szCs w:val="32"/>
        </w:rPr>
        <w:t>Pubs and restaurants continue to gain channel share, driving average spend up</w:t>
      </w:r>
    </w:p>
    <w:p w14:paraId="07B069FB" w14:textId="77777777" w:rsidR="009400D0" w:rsidRDefault="009400D0" w:rsidP="009400D0">
      <w:pPr>
        <w:jc w:val="center"/>
        <w:rPr>
          <w:rFonts w:ascii="Arial" w:hAnsi="Arial" w:cs="Arial"/>
          <w:sz w:val="20"/>
          <w:szCs w:val="20"/>
        </w:rPr>
      </w:pPr>
    </w:p>
    <w:p w14:paraId="6EDD83F5" w14:textId="77777777" w:rsidR="009400D0" w:rsidRPr="009400D0" w:rsidRDefault="009400D0" w:rsidP="009400D0">
      <w:pPr>
        <w:rPr>
          <w:rFonts w:ascii="Arial" w:hAnsi="Arial" w:cs="Arial"/>
          <w:sz w:val="20"/>
          <w:szCs w:val="20"/>
        </w:rPr>
      </w:pPr>
      <w:r w:rsidRPr="009400D0">
        <w:rPr>
          <w:rFonts w:ascii="Arial" w:hAnsi="Arial" w:cs="Arial"/>
          <w:sz w:val="20"/>
          <w:szCs w:val="20"/>
        </w:rPr>
        <w:t xml:space="preserve">According to the latest data from Lumina Intelligence Eating &amp; Drinking Out Panel, consumer participation in the eating out market grew by +2ppts in 4 w/e 13 June 2021 (vs. 4 w/e 16 May 2021), to 58%. Visit frequency also increased from 0.7 times per week to 1.4 times over the same period. </w:t>
      </w:r>
    </w:p>
    <w:p w14:paraId="431C51F4" w14:textId="77777777" w:rsidR="009400D0" w:rsidRPr="009400D0" w:rsidRDefault="009400D0" w:rsidP="009400D0">
      <w:pPr>
        <w:rPr>
          <w:rFonts w:ascii="Arial" w:hAnsi="Arial" w:cs="Arial"/>
          <w:sz w:val="20"/>
          <w:szCs w:val="20"/>
        </w:rPr>
      </w:pPr>
      <w:r w:rsidRPr="009400D0">
        <w:rPr>
          <w:rFonts w:ascii="Arial" w:hAnsi="Arial" w:cs="Arial"/>
          <w:sz w:val="20"/>
          <w:szCs w:val="20"/>
        </w:rPr>
        <w:t xml:space="preserve">With the re-opening of dine-in hospitality, including indoors, in the last 4 weeks, there has been a shift in channel share in the last 4 weeks. Pubs &amp; bars and restaurants have both gained share, +3.5ppts and +2.3ppts respectively; whilst quick service restaurants (-2.9ppts) and coffee/sandwich (-2.5ppts) lost share. This change in channel usage has also led to an increase in average spend, which rose +7.2% to £9.55 in 4 w/e 13 June 2021. </w:t>
      </w:r>
    </w:p>
    <w:p w14:paraId="3080D289" w14:textId="77777777" w:rsidR="009400D0" w:rsidRPr="009400D0" w:rsidRDefault="009400D0" w:rsidP="009400D0">
      <w:pPr>
        <w:rPr>
          <w:rFonts w:ascii="Arial" w:hAnsi="Arial" w:cs="Arial"/>
          <w:sz w:val="20"/>
          <w:szCs w:val="20"/>
        </w:rPr>
      </w:pPr>
      <w:r w:rsidRPr="009400D0">
        <w:rPr>
          <w:rFonts w:ascii="Arial" w:hAnsi="Arial" w:cs="Arial"/>
          <w:sz w:val="20"/>
          <w:szCs w:val="20"/>
        </w:rPr>
        <w:t xml:space="preserve">As a result of the reduced restrictions, an increasing proportion of out of home meal occasions were ordered and bought at the venue, accounting for almost 7 in 10 occasions, an increase of +4.1ppts vs the previous 4 weeks. Meanwhile both delivery and click &amp; collect saw share fall by -2.0ppts and -3.0ppts respectively. </w:t>
      </w:r>
    </w:p>
    <w:p w14:paraId="75BDDB9E" w14:textId="77777777" w:rsidR="009400D0" w:rsidRDefault="009400D0" w:rsidP="009400D0">
      <w:pPr>
        <w:rPr>
          <w:rFonts w:ascii="Arial" w:hAnsi="Arial" w:cs="Arial"/>
          <w:sz w:val="20"/>
          <w:szCs w:val="20"/>
        </w:rPr>
      </w:pPr>
      <w:r w:rsidRPr="009400D0">
        <w:rPr>
          <w:rFonts w:ascii="Arial" w:hAnsi="Arial" w:cs="Arial"/>
          <w:sz w:val="20"/>
          <w:szCs w:val="20"/>
        </w:rPr>
        <w:t xml:space="preserve">Commenting on the results, Insight Director at Lumina Intelligence, Blonnie Whist, said: </w:t>
      </w:r>
      <w:r w:rsidRPr="009400D0">
        <w:rPr>
          <w:rFonts w:ascii="Arial" w:hAnsi="Arial" w:cs="Arial"/>
          <w:i/>
          <w:iCs/>
          <w:sz w:val="20"/>
          <w:szCs w:val="20"/>
        </w:rPr>
        <w:t>“With the re-opening of indoor dining, we’ve seen an increase in participation and frequency of eating out and the shift towards higher spend channels such as restaurants and pubs/bars has also driven up average spend. As predicted, the increase in on-premise dining has led to a drop in delivery and click &amp; collect occasions, but these remain an important route to market for those consumers who remain nervous about venturing out to venues and as a continued source of revenue for operators.”</w:t>
      </w:r>
    </w:p>
    <w:p w14:paraId="6D3F34F0" w14:textId="47B13EAA" w:rsidR="003E204B" w:rsidRDefault="00B54F43" w:rsidP="009400D0">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CD419B"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C4BB2"/>
    <w:rsid w:val="003E204B"/>
    <w:rsid w:val="00414095"/>
    <w:rsid w:val="0041755B"/>
    <w:rsid w:val="0044412F"/>
    <w:rsid w:val="004B3902"/>
    <w:rsid w:val="004D23F6"/>
    <w:rsid w:val="004E551E"/>
    <w:rsid w:val="004F1FF8"/>
    <w:rsid w:val="00520307"/>
    <w:rsid w:val="00550B08"/>
    <w:rsid w:val="0055150D"/>
    <w:rsid w:val="00553497"/>
    <w:rsid w:val="00566CAE"/>
    <w:rsid w:val="005B7E51"/>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62CCB"/>
    <w:rsid w:val="00882EC4"/>
    <w:rsid w:val="008A46AD"/>
    <w:rsid w:val="008C2F28"/>
    <w:rsid w:val="008D4655"/>
    <w:rsid w:val="008D5C4F"/>
    <w:rsid w:val="008E1A01"/>
    <w:rsid w:val="008E317A"/>
    <w:rsid w:val="008E5A63"/>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833AA"/>
    <w:rsid w:val="00BB4747"/>
    <w:rsid w:val="00C16ADB"/>
    <w:rsid w:val="00C176BD"/>
    <w:rsid w:val="00C270FD"/>
    <w:rsid w:val="00C30C1F"/>
    <w:rsid w:val="00C4785A"/>
    <w:rsid w:val="00C545F0"/>
    <w:rsid w:val="00C77C17"/>
    <w:rsid w:val="00C86028"/>
    <w:rsid w:val="00CA6670"/>
    <w:rsid w:val="00CD419B"/>
    <w:rsid w:val="00CE6B8A"/>
    <w:rsid w:val="00D25202"/>
    <w:rsid w:val="00D308D1"/>
    <w:rsid w:val="00D7181B"/>
    <w:rsid w:val="00DB062C"/>
    <w:rsid w:val="00E214AC"/>
    <w:rsid w:val="00E25B65"/>
    <w:rsid w:val="00E56A95"/>
    <w:rsid w:val="00E72427"/>
    <w:rsid w:val="00E734FF"/>
    <w:rsid w:val="00E800EF"/>
    <w:rsid w:val="00EA1B39"/>
    <w:rsid w:val="00ED2C5E"/>
    <w:rsid w:val="00ED3ABD"/>
    <w:rsid w:val="00EE28D1"/>
    <w:rsid w:val="00EF7048"/>
    <w:rsid w:val="00F10F0C"/>
    <w:rsid w:val="00F16921"/>
    <w:rsid w:val="00F744AB"/>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2021-06-23T14:28:00Z</dcterms:created>
  <dcterms:modified xsi:type="dcterms:W3CDTF">2021-07-01T10:31:00Z</dcterms:modified>
</cp:coreProperties>
</file>