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5A236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FB01AE4" w:rsidR="00ED3ABD" w:rsidRPr="00550B08" w:rsidRDefault="00CD419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856858">
        <w:rPr>
          <w:rStyle w:val="Hyperlink"/>
          <w:rFonts w:ascii="Arial" w:hAnsi="Arial" w:cs="Arial"/>
          <w:b/>
          <w:bCs/>
          <w:color w:val="505050"/>
          <w:sz w:val="18"/>
          <w:szCs w:val="18"/>
          <w:u w:val="none"/>
        </w:rPr>
        <w:t>5</w:t>
      </w:r>
      <w:r>
        <w:rPr>
          <w:rStyle w:val="Hyperlink"/>
          <w:rFonts w:ascii="Arial" w:hAnsi="Arial" w:cs="Arial"/>
          <w:b/>
          <w:bCs/>
          <w:color w:val="505050"/>
          <w:sz w:val="18"/>
          <w:szCs w:val="18"/>
          <w:u w:val="none"/>
        </w:rPr>
        <w:t xml:space="preserve"> July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07B069FB" w14:textId="49429592" w:rsidR="009400D0" w:rsidRDefault="00856858" w:rsidP="00856858">
      <w:pPr>
        <w:jc w:val="center"/>
        <w:rPr>
          <w:rFonts w:ascii="Arial" w:hAnsi="Arial" w:cs="Arial"/>
          <w:b/>
          <w:bCs/>
          <w:sz w:val="32"/>
          <w:szCs w:val="32"/>
        </w:rPr>
      </w:pPr>
      <w:r w:rsidRPr="00856858">
        <w:rPr>
          <w:rFonts w:ascii="Arial" w:hAnsi="Arial" w:cs="Arial"/>
          <w:b/>
          <w:bCs/>
          <w:sz w:val="32"/>
          <w:szCs w:val="32"/>
        </w:rPr>
        <w:t>Branded</w:t>
      </w:r>
      <w:r>
        <w:rPr>
          <w:rFonts w:ascii="Arial" w:hAnsi="Arial" w:cs="Arial"/>
          <w:b/>
          <w:bCs/>
          <w:sz w:val="32"/>
          <w:szCs w:val="32"/>
        </w:rPr>
        <w:t xml:space="preserve"> </w:t>
      </w:r>
      <w:r w:rsidRPr="00856858">
        <w:rPr>
          <w:rFonts w:ascii="Arial" w:hAnsi="Arial" w:cs="Arial"/>
          <w:b/>
          <w:bCs/>
          <w:sz w:val="32"/>
          <w:szCs w:val="32"/>
        </w:rPr>
        <w:t xml:space="preserve">pub </w:t>
      </w:r>
      <w:r>
        <w:rPr>
          <w:rFonts w:ascii="Arial" w:hAnsi="Arial" w:cs="Arial"/>
          <w:b/>
          <w:bCs/>
          <w:sz w:val="32"/>
          <w:szCs w:val="32"/>
        </w:rPr>
        <w:t xml:space="preserve">and </w:t>
      </w:r>
      <w:r w:rsidRPr="00856858">
        <w:rPr>
          <w:rFonts w:ascii="Arial" w:hAnsi="Arial" w:cs="Arial"/>
          <w:b/>
          <w:bCs/>
          <w:sz w:val="32"/>
          <w:szCs w:val="32"/>
        </w:rPr>
        <w:t>bar restaurant</w:t>
      </w:r>
      <w:r>
        <w:rPr>
          <w:rFonts w:ascii="Arial" w:hAnsi="Arial" w:cs="Arial"/>
          <w:b/>
          <w:bCs/>
          <w:sz w:val="32"/>
          <w:szCs w:val="32"/>
        </w:rPr>
        <w:t xml:space="preserve"> </w:t>
      </w:r>
      <w:r w:rsidRPr="00856858">
        <w:rPr>
          <w:rFonts w:ascii="Arial" w:hAnsi="Arial" w:cs="Arial"/>
          <w:b/>
          <w:bCs/>
          <w:sz w:val="32"/>
          <w:szCs w:val="32"/>
        </w:rPr>
        <w:t>outlet decline stabilising</w:t>
      </w:r>
      <w:r>
        <w:rPr>
          <w:rFonts w:ascii="Arial" w:hAnsi="Arial" w:cs="Arial"/>
          <w:b/>
          <w:bCs/>
          <w:sz w:val="32"/>
          <w:szCs w:val="32"/>
        </w:rPr>
        <w:t>, versus 201</w:t>
      </w:r>
      <w:r w:rsidR="00DF6CC2">
        <w:rPr>
          <w:rFonts w:ascii="Arial" w:hAnsi="Arial" w:cs="Arial"/>
          <w:b/>
          <w:bCs/>
          <w:sz w:val="32"/>
          <w:szCs w:val="32"/>
        </w:rPr>
        <w:t>8</w:t>
      </w:r>
      <w:r>
        <w:rPr>
          <w:rFonts w:ascii="Arial" w:hAnsi="Arial" w:cs="Arial"/>
          <w:b/>
          <w:bCs/>
          <w:sz w:val="32"/>
          <w:szCs w:val="32"/>
        </w:rPr>
        <w:t>-19</w:t>
      </w:r>
    </w:p>
    <w:p w14:paraId="776F54C6" w14:textId="77777777" w:rsidR="00856858" w:rsidRPr="00856858" w:rsidRDefault="00856858" w:rsidP="00856858">
      <w:pPr>
        <w:jc w:val="center"/>
        <w:rPr>
          <w:rFonts w:ascii="Arial" w:hAnsi="Arial" w:cs="Arial"/>
          <w:b/>
          <w:bCs/>
          <w:sz w:val="32"/>
          <w:szCs w:val="32"/>
        </w:rPr>
      </w:pPr>
    </w:p>
    <w:p w14:paraId="5BF9BFA2" w14:textId="742F153F" w:rsidR="005F1548" w:rsidRDefault="009400D0" w:rsidP="005F1548">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Operator Data Index, t</w:t>
      </w:r>
      <w:r w:rsidR="005F1548" w:rsidRPr="005F1548">
        <w:rPr>
          <w:rFonts w:ascii="Arial" w:hAnsi="Arial" w:cs="Arial"/>
          <w:sz w:val="20"/>
          <w:szCs w:val="20"/>
        </w:rPr>
        <w:t>he branded pub &amp; bar restaurant</w:t>
      </w:r>
      <w:r w:rsidR="005F1548">
        <w:rPr>
          <w:rFonts w:ascii="Arial" w:hAnsi="Arial" w:cs="Arial"/>
          <w:sz w:val="20"/>
          <w:szCs w:val="20"/>
        </w:rPr>
        <w:t xml:space="preserve"> </w:t>
      </w:r>
      <w:r w:rsidR="005F1548" w:rsidRPr="005F1548">
        <w:rPr>
          <w:rFonts w:ascii="Arial" w:hAnsi="Arial" w:cs="Arial"/>
          <w:sz w:val="20"/>
          <w:szCs w:val="20"/>
        </w:rPr>
        <w:t>segment is expected to total 3,753</w:t>
      </w:r>
      <w:r w:rsidR="005F1548">
        <w:rPr>
          <w:rFonts w:ascii="Arial" w:hAnsi="Arial" w:cs="Arial"/>
          <w:sz w:val="20"/>
          <w:szCs w:val="20"/>
        </w:rPr>
        <w:t xml:space="preserve"> </w:t>
      </w:r>
      <w:r w:rsidR="005F1548" w:rsidRPr="005F1548">
        <w:rPr>
          <w:rFonts w:ascii="Arial" w:hAnsi="Arial" w:cs="Arial"/>
          <w:sz w:val="20"/>
          <w:szCs w:val="20"/>
        </w:rPr>
        <w:t xml:space="preserve">sites at Dec 2021. A net loss of </w:t>
      </w:r>
      <w:r w:rsidR="00DF6CC2">
        <w:rPr>
          <w:rFonts w:ascii="Arial" w:hAnsi="Arial" w:cs="Arial"/>
          <w:sz w:val="20"/>
          <w:szCs w:val="20"/>
        </w:rPr>
        <w:t>-</w:t>
      </w:r>
      <w:r w:rsidR="005F1548" w:rsidRPr="005F1548">
        <w:rPr>
          <w:rFonts w:ascii="Arial" w:hAnsi="Arial" w:cs="Arial"/>
          <w:sz w:val="20"/>
          <w:szCs w:val="20"/>
        </w:rPr>
        <w:t>29</w:t>
      </w:r>
      <w:r w:rsidR="005F1548">
        <w:rPr>
          <w:rFonts w:ascii="Arial" w:hAnsi="Arial" w:cs="Arial"/>
          <w:sz w:val="20"/>
          <w:szCs w:val="20"/>
        </w:rPr>
        <w:t xml:space="preserve"> </w:t>
      </w:r>
      <w:r w:rsidR="005F1548" w:rsidRPr="005F1548">
        <w:rPr>
          <w:rFonts w:ascii="Arial" w:hAnsi="Arial" w:cs="Arial"/>
          <w:sz w:val="20"/>
          <w:szCs w:val="20"/>
        </w:rPr>
        <w:t>sites is expected, a notable</w:t>
      </w:r>
      <w:r w:rsidR="005F1548">
        <w:rPr>
          <w:rFonts w:ascii="Arial" w:hAnsi="Arial" w:cs="Arial"/>
          <w:sz w:val="20"/>
          <w:szCs w:val="20"/>
        </w:rPr>
        <w:t xml:space="preserve"> </w:t>
      </w:r>
      <w:r w:rsidR="005F1548" w:rsidRPr="005F1548">
        <w:rPr>
          <w:rFonts w:ascii="Arial" w:hAnsi="Arial" w:cs="Arial"/>
          <w:sz w:val="20"/>
          <w:szCs w:val="20"/>
        </w:rPr>
        <w:t xml:space="preserve">slowdown in decline from the </w:t>
      </w:r>
      <w:r w:rsidR="00DF6CC2">
        <w:rPr>
          <w:rFonts w:ascii="Arial" w:hAnsi="Arial" w:cs="Arial"/>
          <w:sz w:val="20"/>
          <w:szCs w:val="20"/>
        </w:rPr>
        <w:t>-</w:t>
      </w:r>
      <w:r w:rsidR="005F1548" w:rsidRPr="005F1548">
        <w:rPr>
          <w:rFonts w:ascii="Arial" w:hAnsi="Arial" w:cs="Arial"/>
          <w:sz w:val="20"/>
          <w:szCs w:val="20"/>
        </w:rPr>
        <w:t>611</w:t>
      </w:r>
      <w:r w:rsidR="005F1548">
        <w:rPr>
          <w:rFonts w:ascii="Arial" w:hAnsi="Arial" w:cs="Arial"/>
          <w:sz w:val="20"/>
          <w:szCs w:val="20"/>
        </w:rPr>
        <w:t xml:space="preserve"> </w:t>
      </w:r>
      <w:r w:rsidR="005F1548" w:rsidRPr="005F1548">
        <w:rPr>
          <w:rFonts w:ascii="Arial" w:hAnsi="Arial" w:cs="Arial"/>
          <w:sz w:val="20"/>
          <w:szCs w:val="20"/>
        </w:rPr>
        <w:t xml:space="preserve">across Dec </w:t>
      </w:r>
      <w:r w:rsidR="00DF6CC2">
        <w:rPr>
          <w:rFonts w:ascii="Arial" w:hAnsi="Arial" w:cs="Arial"/>
          <w:sz w:val="20"/>
          <w:szCs w:val="20"/>
        </w:rPr>
        <w:t>2018-</w:t>
      </w:r>
      <w:r w:rsidR="005F1548" w:rsidRPr="005F1548">
        <w:rPr>
          <w:rFonts w:ascii="Arial" w:hAnsi="Arial" w:cs="Arial"/>
          <w:sz w:val="20"/>
          <w:szCs w:val="20"/>
        </w:rPr>
        <w:t xml:space="preserve">Dec </w:t>
      </w:r>
      <w:r w:rsidR="00DF6CC2">
        <w:rPr>
          <w:rFonts w:ascii="Arial" w:hAnsi="Arial" w:cs="Arial"/>
          <w:sz w:val="20"/>
          <w:szCs w:val="20"/>
        </w:rPr>
        <w:t>20</w:t>
      </w:r>
      <w:r w:rsidR="005F1548" w:rsidRPr="005F1548">
        <w:rPr>
          <w:rFonts w:ascii="Arial" w:hAnsi="Arial" w:cs="Arial"/>
          <w:sz w:val="20"/>
          <w:szCs w:val="20"/>
        </w:rPr>
        <w:t>19.</w:t>
      </w:r>
    </w:p>
    <w:p w14:paraId="70785E7E" w14:textId="3B39EDE4" w:rsidR="005F1548" w:rsidRDefault="00DF6CC2" w:rsidP="00DF6CC2">
      <w:pPr>
        <w:rPr>
          <w:rFonts w:ascii="Arial" w:hAnsi="Arial" w:cs="Arial"/>
          <w:sz w:val="20"/>
          <w:szCs w:val="20"/>
        </w:rPr>
      </w:pPr>
      <w:r w:rsidRPr="00DF6CC2">
        <w:rPr>
          <w:rFonts w:ascii="Arial" w:hAnsi="Arial" w:cs="Arial"/>
          <w:sz w:val="20"/>
          <w:szCs w:val="20"/>
        </w:rPr>
        <w:t>Pub groups including Greene King, Mitchells &amp; Butlers and Marston’s have been refurbishing their</w:t>
      </w:r>
      <w:r>
        <w:rPr>
          <w:rFonts w:ascii="Arial" w:hAnsi="Arial" w:cs="Arial"/>
          <w:sz w:val="20"/>
          <w:szCs w:val="20"/>
        </w:rPr>
        <w:t xml:space="preserve"> </w:t>
      </w:r>
      <w:r w:rsidRPr="00DF6CC2">
        <w:rPr>
          <w:rFonts w:ascii="Arial" w:hAnsi="Arial" w:cs="Arial"/>
          <w:sz w:val="20"/>
          <w:szCs w:val="20"/>
        </w:rPr>
        <w:t>managed pub estates in the past few</w:t>
      </w:r>
      <w:r>
        <w:rPr>
          <w:rFonts w:ascii="Arial" w:hAnsi="Arial" w:cs="Arial"/>
          <w:sz w:val="20"/>
          <w:szCs w:val="20"/>
        </w:rPr>
        <w:t xml:space="preserve"> </w:t>
      </w:r>
      <w:r w:rsidRPr="00DF6CC2">
        <w:rPr>
          <w:rFonts w:ascii="Arial" w:hAnsi="Arial" w:cs="Arial"/>
          <w:sz w:val="20"/>
          <w:szCs w:val="20"/>
        </w:rPr>
        <w:t>years, transforming some older branded pub restaurant sites into more modern managed venues with a focus on creating more unique</w:t>
      </w:r>
      <w:r>
        <w:rPr>
          <w:rFonts w:ascii="Arial" w:hAnsi="Arial" w:cs="Arial"/>
          <w:sz w:val="20"/>
          <w:szCs w:val="20"/>
        </w:rPr>
        <w:t xml:space="preserve"> </w:t>
      </w:r>
      <w:r w:rsidRPr="00DF6CC2">
        <w:rPr>
          <w:rFonts w:ascii="Arial" w:hAnsi="Arial" w:cs="Arial"/>
          <w:sz w:val="20"/>
          <w:szCs w:val="20"/>
        </w:rPr>
        <w:t>establishments.</w:t>
      </w:r>
    </w:p>
    <w:p w14:paraId="166C58BB" w14:textId="6F4DF74B" w:rsidR="005F1548" w:rsidRDefault="00EB365A" w:rsidP="00EB365A">
      <w:pPr>
        <w:rPr>
          <w:rFonts w:ascii="Arial" w:hAnsi="Arial" w:cs="Arial"/>
          <w:sz w:val="20"/>
          <w:szCs w:val="20"/>
        </w:rPr>
      </w:pPr>
      <w:r w:rsidRPr="00EB365A">
        <w:rPr>
          <w:rFonts w:ascii="Arial" w:hAnsi="Arial" w:cs="Arial"/>
          <w:sz w:val="20"/>
          <w:szCs w:val="20"/>
        </w:rPr>
        <w:t>The top 10 branded pub &amp; bar restaurants by outlets are set to see a decline of</w:t>
      </w:r>
      <w:r>
        <w:rPr>
          <w:rFonts w:ascii="Arial" w:hAnsi="Arial" w:cs="Arial"/>
          <w:sz w:val="20"/>
          <w:szCs w:val="20"/>
        </w:rPr>
        <w:t xml:space="preserve"> -</w:t>
      </w:r>
      <w:r w:rsidRPr="00EB365A">
        <w:rPr>
          <w:rFonts w:ascii="Arial" w:hAnsi="Arial" w:cs="Arial"/>
          <w:sz w:val="20"/>
          <w:szCs w:val="20"/>
        </w:rPr>
        <w:t>10 net sites in 2021.</w:t>
      </w:r>
      <w:r w:rsidR="00832CF9">
        <w:rPr>
          <w:rFonts w:ascii="Arial" w:hAnsi="Arial" w:cs="Arial"/>
          <w:sz w:val="20"/>
          <w:szCs w:val="20"/>
        </w:rPr>
        <w:t xml:space="preserve"> Chef &amp; Brewer (+3.1%) and The Lounges (+8.6%) are the two brands forecast to experience the fastest growth in 2021. </w:t>
      </w:r>
    </w:p>
    <w:p w14:paraId="71988B8D" w14:textId="11883A1B" w:rsidR="00DF6CC2" w:rsidRDefault="00832CF9" w:rsidP="009400D0">
      <w:pPr>
        <w:rPr>
          <w:rFonts w:ascii="Arial" w:hAnsi="Arial" w:cs="Arial"/>
          <w:sz w:val="20"/>
          <w:szCs w:val="20"/>
        </w:rPr>
      </w:pPr>
      <w:r w:rsidRPr="00832CF9">
        <w:rPr>
          <w:rFonts w:ascii="Arial" w:hAnsi="Arial" w:cs="Arial"/>
          <w:sz w:val="20"/>
          <w:szCs w:val="20"/>
        </w:rPr>
        <w:t>Despite challenges</w:t>
      </w:r>
      <w:r>
        <w:rPr>
          <w:rFonts w:ascii="Arial" w:hAnsi="Arial" w:cs="Arial"/>
          <w:sz w:val="20"/>
          <w:szCs w:val="20"/>
        </w:rPr>
        <w:t xml:space="preserve"> caused by the pandemic</w:t>
      </w:r>
      <w:r w:rsidRPr="00832CF9">
        <w:rPr>
          <w:rFonts w:ascii="Arial" w:hAnsi="Arial" w:cs="Arial"/>
          <w:sz w:val="20"/>
          <w:szCs w:val="20"/>
        </w:rPr>
        <w:t xml:space="preserve"> over the past 18 months, Loungers has expressed its ambitions to continue its expansion of +25 sites a</w:t>
      </w:r>
      <w:r>
        <w:rPr>
          <w:rFonts w:ascii="Arial" w:hAnsi="Arial" w:cs="Arial"/>
          <w:sz w:val="20"/>
          <w:szCs w:val="20"/>
        </w:rPr>
        <w:t xml:space="preserve"> </w:t>
      </w:r>
      <w:r w:rsidRPr="00832CF9">
        <w:rPr>
          <w:rFonts w:ascii="Arial" w:hAnsi="Arial" w:cs="Arial"/>
          <w:sz w:val="20"/>
          <w:szCs w:val="20"/>
        </w:rPr>
        <w:t xml:space="preserve">year across </w:t>
      </w:r>
      <w:r w:rsidR="005A2368">
        <w:rPr>
          <w:rFonts w:ascii="Arial" w:hAnsi="Arial" w:cs="Arial"/>
          <w:sz w:val="20"/>
          <w:szCs w:val="20"/>
        </w:rPr>
        <w:t>it’s the Lounges</w:t>
      </w:r>
      <w:r w:rsidRPr="00832CF9">
        <w:rPr>
          <w:rFonts w:ascii="Arial" w:hAnsi="Arial" w:cs="Arial"/>
          <w:sz w:val="20"/>
          <w:szCs w:val="20"/>
        </w:rPr>
        <w:t xml:space="preserve"> and Cosy Club brands. </w:t>
      </w:r>
    </w:p>
    <w:p w14:paraId="54C76DD3" w14:textId="1A482EFB" w:rsidR="00832CF9" w:rsidRDefault="009400D0" w:rsidP="009400D0">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832CF9">
        <w:rPr>
          <w:rFonts w:ascii="Arial" w:hAnsi="Arial" w:cs="Arial"/>
          <w:i/>
          <w:iCs/>
          <w:sz w:val="20"/>
          <w:szCs w:val="20"/>
        </w:rPr>
        <w:t>Over the last 18 months, pub and bar restaurants have had to transform the way they operate in order to remain open and survive. This inevitably resulted in casualties, however, with restrictions easing, we expect outlet decline to continue to stabilise versus the steep declines seen in 2018-19. This</w:t>
      </w:r>
      <w:r w:rsidR="004C063F">
        <w:rPr>
          <w:rFonts w:ascii="Arial" w:hAnsi="Arial" w:cs="Arial"/>
          <w:i/>
          <w:iCs/>
          <w:sz w:val="20"/>
          <w:szCs w:val="20"/>
        </w:rPr>
        <w:t xml:space="preserve"> slight decline will be driven by</w:t>
      </w:r>
      <w:r w:rsidR="004C063F" w:rsidRPr="004C063F">
        <w:rPr>
          <w:rFonts w:ascii="Arial" w:hAnsi="Arial" w:cs="Arial"/>
          <w:i/>
          <w:iCs/>
          <w:sz w:val="20"/>
          <w:szCs w:val="20"/>
        </w:rPr>
        <w:t xml:space="preserve"> pub groups continu</w:t>
      </w:r>
      <w:r w:rsidR="004C063F">
        <w:rPr>
          <w:rFonts w:ascii="Arial" w:hAnsi="Arial" w:cs="Arial"/>
          <w:i/>
          <w:iCs/>
          <w:sz w:val="20"/>
          <w:szCs w:val="20"/>
        </w:rPr>
        <w:t>ing</w:t>
      </w:r>
      <w:r w:rsidR="004C063F" w:rsidRPr="004C063F">
        <w:rPr>
          <w:rFonts w:ascii="Arial" w:hAnsi="Arial" w:cs="Arial"/>
          <w:i/>
          <w:iCs/>
          <w:sz w:val="20"/>
          <w:szCs w:val="20"/>
        </w:rPr>
        <w:t xml:space="preserve"> to dispose of and transfer sites into unbranded estates.</w:t>
      </w:r>
      <w:r w:rsidR="00832CF9">
        <w:rPr>
          <w:rFonts w:ascii="Arial" w:hAnsi="Arial" w:cs="Arial"/>
          <w:i/>
          <w:iCs/>
          <w:sz w:val="20"/>
          <w:szCs w:val="20"/>
        </w:rPr>
        <w:t>”</w:t>
      </w:r>
    </w:p>
    <w:p w14:paraId="6D3F34F0" w14:textId="617352C3" w:rsidR="003E204B" w:rsidRDefault="00B54F43" w:rsidP="009400D0">
      <w:pPr>
        <w:rPr>
          <w:rFonts w:ascii="Arial" w:hAnsi="Arial" w:cs="Arial"/>
          <w:b/>
          <w:bCs/>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9AF4682" w14:textId="77777777" w:rsidR="005F1548" w:rsidRPr="005F1548"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0430D547" w14:textId="77777777" w:rsidR="005F1548" w:rsidRPr="005F1548" w:rsidRDefault="005F1548" w:rsidP="005F1548">
      <w:pPr>
        <w:rPr>
          <w:rFonts w:ascii="Arial" w:hAnsi="Arial" w:cs="Arial"/>
          <w:sz w:val="20"/>
          <w:szCs w:val="20"/>
        </w:rPr>
      </w:pPr>
      <w:r w:rsidRPr="005F1548">
        <w:rPr>
          <w:rFonts w:ascii="Arial" w:hAnsi="Arial" w:cs="Arial"/>
          <w:sz w:val="20"/>
          <w:szCs w:val="20"/>
        </w:rPr>
        <w:t>Our Operator Data Index includes:</w:t>
      </w:r>
    </w:p>
    <w:p w14:paraId="6072B56B" w14:textId="23A954E1"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Comprehensive data on 700+ leading UK hospitality operators</w:t>
      </w:r>
    </w:p>
    <w:p w14:paraId="77EBD53D" w14:textId="1342C3AC"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Access market rankings, sales and outlet counts and monthly analysis presentations.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w:t>
      </w:r>
      <w:r w:rsidRPr="001249C3">
        <w:rPr>
          <w:rFonts w:ascii="Arial" w:hAnsi="Arial" w:cs="Arial"/>
          <w:sz w:val="20"/>
          <w:szCs w:val="20"/>
        </w:rPr>
        <w:lastRenderedPageBreak/>
        <w:t xml:space="preserve">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5A2368"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B7E51"/>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4655"/>
    <w:rsid w:val="008D5C4F"/>
    <w:rsid w:val="008E1A01"/>
    <w:rsid w:val="008E317A"/>
    <w:rsid w:val="008E5A63"/>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77C17"/>
    <w:rsid w:val="00C86028"/>
    <w:rsid w:val="00CA6670"/>
    <w:rsid w:val="00CD419B"/>
    <w:rsid w:val="00CE6B8A"/>
    <w:rsid w:val="00D25202"/>
    <w:rsid w:val="00D308D1"/>
    <w:rsid w:val="00D7181B"/>
    <w:rsid w:val="00DB062C"/>
    <w:rsid w:val="00DF6CC2"/>
    <w:rsid w:val="00E214AC"/>
    <w:rsid w:val="00E25B65"/>
    <w:rsid w:val="00E56A95"/>
    <w:rsid w:val="00E72427"/>
    <w:rsid w:val="00E734FF"/>
    <w:rsid w:val="00E800EF"/>
    <w:rsid w:val="00EA1B39"/>
    <w:rsid w:val="00EB365A"/>
    <w:rsid w:val="00ED2C5E"/>
    <w:rsid w:val="00ED3ABD"/>
    <w:rsid w:val="00EE28D1"/>
    <w:rsid w:val="00EF7048"/>
    <w:rsid w:val="00F10F0C"/>
    <w:rsid w:val="00F16921"/>
    <w:rsid w:val="00F744AB"/>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2021-07-02T08:29:00Z</dcterms:created>
  <dcterms:modified xsi:type="dcterms:W3CDTF">2021-07-02T09:50:00Z</dcterms:modified>
</cp:coreProperties>
</file>