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EB6EF0"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1AA164B" w:rsidR="00ED3ABD" w:rsidRPr="00550B08" w:rsidRDefault="00B42877"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20</w:t>
      </w:r>
      <w:r w:rsidR="0020205C">
        <w:rPr>
          <w:rStyle w:val="Hyperlink"/>
          <w:rFonts w:ascii="Arial" w:hAnsi="Arial" w:cs="Arial"/>
          <w:b/>
          <w:bCs/>
          <w:color w:val="505050"/>
          <w:sz w:val="18"/>
          <w:szCs w:val="18"/>
          <w:u w:val="none"/>
        </w:rPr>
        <w:t xml:space="preserve"> Ju</w:t>
      </w:r>
      <w:r w:rsidR="00372E29">
        <w:rPr>
          <w:rStyle w:val="Hyperlink"/>
          <w:rFonts w:ascii="Arial" w:hAnsi="Arial" w:cs="Arial"/>
          <w:b/>
          <w:bCs/>
          <w:color w:val="505050"/>
          <w:sz w:val="18"/>
          <w:szCs w:val="18"/>
          <w:u w:val="none"/>
        </w:rPr>
        <w:t>ly</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33E924B8" w:rsidR="00DD5EEB" w:rsidRDefault="00B42877" w:rsidP="00DB2AFC">
      <w:pPr>
        <w:jc w:val="center"/>
        <w:rPr>
          <w:rFonts w:ascii="Arial" w:hAnsi="Arial" w:cs="Arial"/>
          <w:b/>
          <w:bCs/>
          <w:sz w:val="32"/>
          <w:szCs w:val="32"/>
        </w:rPr>
      </w:pPr>
      <w:r>
        <w:rPr>
          <w:rFonts w:ascii="Arial" w:hAnsi="Arial" w:cs="Arial"/>
          <w:b/>
          <w:bCs/>
          <w:sz w:val="32"/>
          <w:szCs w:val="32"/>
        </w:rPr>
        <w:t>UK convenience retail market growth to slow to +0.3% in 2021</w:t>
      </w:r>
    </w:p>
    <w:p w14:paraId="51687D77" w14:textId="77777777" w:rsidR="00372E29" w:rsidRDefault="00372E29" w:rsidP="00372E29">
      <w:pPr>
        <w:rPr>
          <w:rFonts w:ascii="Arial" w:hAnsi="Arial" w:cs="Arial"/>
          <w:sz w:val="20"/>
          <w:szCs w:val="20"/>
        </w:rPr>
      </w:pPr>
    </w:p>
    <w:p w14:paraId="354C0496" w14:textId="248D6D30" w:rsidR="00B42877" w:rsidRDefault="00372E29" w:rsidP="00372E29">
      <w:pPr>
        <w:rPr>
          <w:rFonts w:ascii="Arial" w:hAnsi="Arial" w:cs="Arial"/>
          <w:sz w:val="20"/>
          <w:szCs w:val="20"/>
        </w:rPr>
      </w:pPr>
      <w:r>
        <w:rPr>
          <w:rFonts w:ascii="Arial" w:hAnsi="Arial" w:cs="Arial"/>
          <w:sz w:val="20"/>
          <w:szCs w:val="20"/>
        </w:rPr>
        <w:t xml:space="preserve">According to the Lumina Intelligence </w:t>
      </w:r>
      <w:r w:rsidR="00B42877">
        <w:rPr>
          <w:rFonts w:ascii="Arial" w:hAnsi="Arial" w:cs="Arial"/>
          <w:sz w:val="20"/>
          <w:szCs w:val="20"/>
        </w:rPr>
        <w:t xml:space="preserve">UK Convenience Market Report 2021, </w:t>
      </w:r>
      <w:r w:rsidR="00BA5FFC">
        <w:rPr>
          <w:rFonts w:ascii="Arial" w:hAnsi="Arial" w:cs="Arial"/>
          <w:sz w:val="20"/>
          <w:szCs w:val="20"/>
        </w:rPr>
        <w:t>the UK convenience retail market is set to grow +0.3% in 2021, to a value of £43.2bn. This follows a year of extraordinary growth (+6.3%) in 2020 off the back of the pandemic.</w:t>
      </w:r>
    </w:p>
    <w:p w14:paraId="60A28A93" w14:textId="77161804" w:rsidR="00C51532" w:rsidRPr="00C51532" w:rsidRDefault="00C51532" w:rsidP="00372E29">
      <w:pPr>
        <w:rPr>
          <w:rFonts w:ascii="Arial" w:hAnsi="Arial" w:cs="Arial"/>
          <w:b/>
          <w:bCs/>
          <w:sz w:val="20"/>
          <w:szCs w:val="20"/>
        </w:rPr>
      </w:pPr>
      <w:r w:rsidRPr="00C51532">
        <w:rPr>
          <w:rFonts w:ascii="Arial" w:hAnsi="Arial" w:cs="Arial"/>
          <w:b/>
          <w:bCs/>
          <w:sz w:val="20"/>
          <w:szCs w:val="20"/>
        </w:rPr>
        <w:t>Co-operatives lead market growth</w:t>
      </w:r>
    </w:p>
    <w:p w14:paraId="28426F8A" w14:textId="276CE3AB" w:rsidR="00B42877" w:rsidRDefault="007863A3" w:rsidP="00372E29">
      <w:pPr>
        <w:rPr>
          <w:rFonts w:ascii="Arial" w:hAnsi="Arial" w:cs="Arial"/>
          <w:sz w:val="20"/>
          <w:szCs w:val="20"/>
        </w:rPr>
      </w:pPr>
      <w:r>
        <w:rPr>
          <w:rFonts w:ascii="Arial" w:hAnsi="Arial" w:cs="Arial"/>
          <w:sz w:val="20"/>
          <w:szCs w:val="20"/>
        </w:rPr>
        <w:t xml:space="preserve">Growth in 2021 is set to be led by the convenience multiples (+2.1%) and co-operatives (+5.3%). Following growth of +9.6% in 2020, unaffiliated independents are set to experience a decline of -2.2% in 2021. Independents are expected to see decline, as shoppers return to larger stores in the second half of the year, however value will remain higher than pre-pandemic. A lack of outlet growth (+0.1%) from symbol groups will lead to a relatively static </w:t>
      </w:r>
      <w:r w:rsidR="00AE1B2B">
        <w:rPr>
          <w:rFonts w:ascii="Arial" w:hAnsi="Arial" w:cs="Arial"/>
          <w:sz w:val="20"/>
          <w:szCs w:val="20"/>
        </w:rPr>
        <w:t>sales performance (-0.4%), with shoppers continuing to use in-store and delivery services.</w:t>
      </w:r>
    </w:p>
    <w:p w14:paraId="1766E713" w14:textId="5865781B" w:rsidR="00AE1B2B" w:rsidRPr="007075BD" w:rsidRDefault="00C51532" w:rsidP="00372E29">
      <w:pPr>
        <w:rPr>
          <w:rFonts w:ascii="Arial" w:hAnsi="Arial" w:cs="Arial"/>
          <w:b/>
          <w:bCs/>
          <w:sz w:val="20"/>
          <w:szCs w:val="20"/>
        </w:rPr>
      </w:pPr>
      <w:r w:rsidRPr="007075BD">
        <w:rPr>
          <w:rFonts w:ascii="Arial" w:hAnsi="Arial" w:cs="Arial"/>
          <w:b/>
          <w:bCs/>
          <w:sz w:val="20"/>
          <w:szCs w:val="20"/>
        </w:rPr>
        <w:t>Symbols and indies drive higher frequency, but lower spend</w:t>
      </w:r>
    </w:p>
    <w:p w14:paraId="47BD7A47" w14:textId="133593DF" w:rsidR="00C51532" w:rsidRDefault="007075BD" w:rsidP="00372E29">
      <w:pPr>
        <w:rPr>
          <w:rFonts w:ascii="Arial" w:hAnsi="Arial" w:cs="Arial"/>
          <w:sz w:val="20"/>
          <w:szCs w:val="20"/>
        </w:rPr>
      </w:pPr>
      <w:r>
        <w:rPr>
          <w:rFonts w:ascii="Arial" w:hAnsi="Arial" w:cs="Arial"/>
          <w:sz w:val="20"/>
          <w:szCs w:val="20"/>
        </w:rPr>
        <w:t>Average spend per visit to a convenience store is £10.82, with the average shopper buying 3.3 items and visiting 2.5 times per week.</w:t>
      </w:r>
    </w:p>
    <w:p w14:paraId="6EC8C274" w14:textId="19974B45" w:rsidR="00AE1B2B" w:rsidRDefault="007075BD" w:rsidP="00372E29">
      <w:pPr>
        <w:rPr>
          <w:rFonts w:ascii="Arial" w:hAnsi="Arial" w:cs="Arial"/>
          <w:sz w:val="20"/>
          <w:szCs w:val="20"/>
        </w:rPr>
      </w:pPr>
      <w:r>
        <w:rPr>
          <w:rFonts w:ascii="Arial" w:hAnsi="Arial" w:cs="Arial"/>
          <w:sz w:val="20"/>
          <w:szCs w:val="20"/>
        </w:rPr>
        <w:t>Average spend within managed convenience stores</w:t>
      </w:r>
      <w:r w:rsidR="00BF6B5A">
        <w:rPr>
          <w:rFonts w:ascii="Arial" w:hAnsi="Arial" w:cs="Arial"/>
          <w:sz w:val="20"/>
          <w:szCs w:val="20"/>
        </w:rPr>
        <w:t xml:space="preserve"> is £11.60 per visit – 30% higher than average spend at symbol and independent convenience stores (£8.92). However, average visit frequency to a symbol or independent convenience store is 2.9 times per week – 26% higher than for managed convenience stores (2.3 visits per week).</w:t>
      </w:r>
      <w:r w:rsidR="00CB627F">
        <w:rPr>
          <w:rFonts w:ascii="Arial" w:hAnsi="Arial" w:cs="Arial"/>
          <w:sz w:val="20"/>
          <w:szCs w:val="20"/>
        </w:rPr>
        <w:t xml:space="preserve"> </w:t>
      </w:r>
      <w:r w:rsidR="00CB627F" w:rsidRPr="00CB627F">
        <w:rPr>
          <w:rFonts w:ascii="Arial" w:hAnsi="Arial" w:cs="Arial"/>
          <w:sz w:val="20"/>
          <w:szCs w:val="20"/>
        </w:rPr>
        <w:t>Shopper spend in managed convenience is higher due to wider ranges of more lucrative items</w:t>
      </w:r>
      <w:r w:rsidR="00CB627F">
        <w:rPr>
          <w:rFonts w:ascii="Arial" w:hAnsi="Arial" w:cs="Arial"/>
          <w:sz w:val="20"/>
          <w:szCs w:val="20"/>
        </w:rPr>
        <w:t xml:space="preserve"> </w:t>
      </w:r>
      <w:r w:rsidR="00CB627F" w:rsidRPr="00CB627F">
        <w:rPr>
          <w:rFonts w:ascii="Arial" w:hAnsi="Arial" w:cs="Arial"/>
          <w:sz w:val="20"/>
          <w:szCs w:val="20"/>
        </w:rPr>
        <w:t>including fresh and chilled, food to go and alcohol.</w:t>
      </w:r>
    </w:p>
    <w:p w14:paraId="5C477CF9" w14:textId="10F9476D" w:rsidR="007863A3" w:rsidRPr="00CB627F" w:rsidRDefault="00CB627F" w:rsidP="00372E29">
      <w:pPr>
        <w:rPr>
          <w:rFonts w:ascii="Arial" w:hAnsi="Arial" w:cs="Arial"/>
          <w:b/>
          <w:bCs/>
          <w:sz w:val="20"/>
          <w:szCs w:val="20"/>
        </w:rPr>
      </w:pPr>
      <w:r w:rsidRPr="00CB627F">
        <w:rPr>
          <w:rFonts w:ascii="Arial" w:hAnsi="Arial" w:cs="Arial"/>
          <w:b/>
          <w:bCs/>
          <w:sz w:val="20"/>
          <w:szCs w:val="20"/>
        </w:rPr>
        <w:t>Three in ten shoppers on a planned top up mission</w:t>
      </w:r>
    </w:p>
    <w:p w14:paraId="4635D0C7" w14:textId="77DA972E" w:rsidR="00CB627F" w:rsidRDefault="005F6F8C" w:rsidP="00372E29">
      <w:pPr>
        <w:rPr>
          <w:rFonts w:ascii="Arial" w:hAnsi="Arial" w:cs="Arial"/>
          <w:sz w:val="20"/>
          <w:szCs w:val="20"/>
        </w:rPr>
      </w:pPr>
      <w:r>
        <w:rPr>
          <w:rFonts w:ascii="Arial" w:hAnsi="Arial" w:cs="Arial"/>
          <w:sz w:val="20"/>
          <w:szCs w:val="20"/>
        </w:rPr>
        <w:t>Top shopper missions within convenience:</w:t>
      </w:r>
    </w:p>
    <w:tbl>
      <w:tblPr>
        <w:tblStyle w:val="TableGrid"/>
        <w:tblW w:w="0" w:type="auto"/>
        <w:tblLook w:val="04A0" w:firstRow="1" w:lastRow="0" w:firstColumn="1" w:lastColumn="0" w:noHBand="0" w:noVBand="1"/>
      </w:tblPr>
      <w:tblGrid>
        <w:gridCol w:w="1980"/>
        <w:gridCol w:w="709"/>
      </w:tblGrid>
      <w:tr w:rsidR="005F6F8C" w14:paraId="4F6D45CA" w14:textId="77777777" w:rsidTr="005F6F8C">
        <w:tc>
          <w:tcPr>
            <w:tcW w:w="1980" w:type="dxa"/>
          </w:tcPr>
          <w:p w14:paraId="76951A96" w14:textId="252BF72E" w:rsidR="005F6F8C" w:rsidRDefault="005F6F8C" w:rsidP="00372E29">
            <w:pPr>
              <w:rPr>
                <w:rFonts w:ascii="Arial" w:hAnsi="Arial" w:cs="Arial"/>
                <w:sz w:val="20"/>
                <w:szCs w:val="20"/>
              </w:rPr>
            </w:pPr>
            <w:r>
              <w:rPr>
                <w:rFonts w:ascii="Arial" w:hAnsi="Arial" w:cs="Arial"/>
                <w:sz w:val="20"/>
                <w:szCs w:val="20"/>
              </w:rPr>
              <w:t>Top up (planned)</w:t>
            </w:r>
          </w:p>
        </w:tc>
        <w:tc>
          <w:tcPr>
            <w:tcW w:w="709" w:type="dxa"/>
          </w:tcPr>
          <w:p w14:paraId="5129E61A" w14:textId="7C758C03" w:rsidR="005F6F8C" w:rsidRDefault="005F6F8C" w:rsidP="00372E29">
            <w:pPr>
              <w:rPr>
                <w:rFonts w:ascii="Arial" w:hAnsi="Arial" w:cs="Arial"/>
                <w:sz w:val="20"/>
                <w:szCs w:val="20"/>
              </w:rPr>
            </w:pPr>
            <w:r>
              <w:rPr>
                <w:rFonts w:ascii="Arial" w:hAnsi="Arial" w:cs="Arial"/>
                <w:sz w:val="20"/>
                <w:szCs w:val="20"/>
              </w:rPr>
              <w:t>31%</w:t>
            </w:r>
          </w:p>
        </w:tc>
      </w:tr>
      <w:tr w:rsidR="005F6F8C" w14:paraId="1D0C71C0" w14:textId="77777777" w:rsidTr="005F6F8C">
        <w:tc>
          <w:tcPr>
            <w:tcW w:w="1980" w:type="dxa"/>
          </w:tcPr>
          <w:p w14:paraId="2E1B4820" w14:textId="2616849E" w:rsidR="005F6F8C" w:rsidRDefault="005F6F8C" w:rsidP="00372E29">
            <w:pPr>
              <w:rPr>
                <w:rFonts w:ascii="Arial" w:hAnsi="Arial" w:cs="Arial"/>
                <w:sz w:val="20"/>
                <w:szCs w:val="20"/>
              </w:rPr>
            </w:pPr>
            <w:r>
              <w:rPr>
                <w:rFonts w:ascii="Arial" w:hAnsi="Arial" w:cs="Arial"/>
                <w:sz w:val="20"/>
                <w:szCs w:val="20"/>
              </w:rPr>
              <w:t>Newsagent</w:t>
            </w:r>
          </w:p>
        </w:tc>
        <w:tc>
          <w:tcPr>
            <w:tcW w:w="709" w:type="dxa"/>
          </w:tcPr>
          <w:p w14:paraId="67AAC31F" w14:textId="0FBDCC81" w:rsidR="005F6F8C" w:rsidRDefault="005F6F8C" w:rsidP="00372E29">
            <w:pPr>
              <w:rPr>
                <w:rFonts w:ascii="Arial" w:hAnsi="Arial" w:cs="Arial"/>
                <w:sz w:val="20"/>
                <w:szCs w:val="20"/>
              </w:rPr>
            </w:pPr>
            <w:r>
              <w:rPr>
                <w:rFonts w:ascii="Arial" w:hAnsi="Arial" w:cs="Arial"/>
                <w:sz w:val="20"/>
                <w:szCs w:val="20"/>
              </w:rPr>
              <w:t>16%</w:t>
            </w:r>
          </w:p>
        </w:tc>
      </w:tr>
      <w:tr w:rsidR="005F6F8C" w14:paraId="7B1CD4ED" w14:textId="77777777" w:rsidTr="005F6F8C">
        <w:tc>
          <w:tcPr>
            <w:tcW w:w="1980" w:type="dxa"/>
          </w:tcPr>
          <w:p w14:paraId="0174A566" w14:textId="22B65EE1" w:rsidR="005F6F8C" w:rsidRDefault="005F6F8C" w:rsidP="00372E29">
            <w:pPr>
              <w:rPr>
                <w:rFonts w:ascii="Arial" w:hAnsi="Arial" w:cs="Arial"/>
                <w:sz w:val="20"/>
                <w:szCs w:val="20"/>
              </w:rPr>
            </w:pPr>
            <w:r>
              <w:rPr>
                <w:rFonts w:ascii="Arial" w:hAnsi="Arial" w:cs="Arial"/>
                <w:sz w:val="20"/>
                <w:szCs w:val="20"/>
              </w:rPr>
              <w:t>Meal occasions</w:t>
            </w:r>
          </w:p>
        </w:tc>
        <w:tc>
          <w:tcPr>
            <w:tcW w:w="709" w:type="dxa"/>
          </w:tcPr>
          <w:p w14:paraId="72F9FAF1" w14:textId="26FCBD88" w:rsidR="005F6F8C" w:rsidRDefault="005F6F8C" w:rsidP="00372E29">
            <w:pPr>
              <w:rPr>
                <w:rFonts w:ascii="Arial" w:hAnsi="Arial" w:cs="Arial"/>
                <w:sz w:val="20"/>
                <w:szCs w:val="20"/>
              </w:rPr>
            </w:pPr>
            <w:r>
              <w:rPr>
                <w:rFonts w:ascii="Arial" w:hAnsi="Arial" w:cs="Arial"/>
                <w:sz w:val="20"/>
                <w:szCs w:val="20"/>
              </w:rPr>
              <w:t>14%</w:t>
            </w:r>
          </w:p>
        </w:tc>
      </w:tr>
      <w:tr w:rsidR="005F6F8C" w14:paraId="290C86B4" w14:textId="77777777" w:rsidTr="005F6F8C">
        <w:tc>
          <w:tcPr>
            <w:tcW w:w="1980" w:type="dxa"/>
          </w:tcPr>
          <w:p w14:paraId="1C218AB3" w14:textId="701B3A8B" w:rsidR="005F6F8C" w:rsidRDefault="005F6F8C" w:rsidP="00372E29">
            <w:pPr>
              <w:rPr>
                <w:rFonts w:ascii="Arial" w:hAnsi="Arial" w:cs="Arial"/>
                <w:sz w:val="20"/>
                <w:szCs w:val="20"/>
              </w:rPr>
            </w:pPr>
            <w:r>
              <w:rPr>
                <w:rFonts w:ascii="Arial" w:hAnsi="Arial" w:cs="Arial"/>
                <w:sz w:val="20"/>
                <w:szCs w:val="20"/>
              </w:rPr>
              <w:t>Top up (distress)</w:t>
            </w:r>
          </w:p>
        </w:tc>
        <w:tc>
          <w:tcPr>
            <w:tcW w:w="709" w:type="dxa"/>
          </w:tcPr>
          <w:p w14:paraId="4DD2BF95" w14:textId="63158302" w:rsidR="005F6F8C" w:rsidRDefault="005F6F8C" w:rsidP="00372E29">
            <w:pPr>
              <w:rPr>
                <w:rFonts w:ascii="Arial" w:hAnsi="Arial" w:cs="Arial"/>
                <w:sz w:val="20"/>
                <w:szCs w:val="20"/>
              </w:rPr>
            </w:pPr>
            <w:r>
              <w:rPr>
                <w:rFonts w:ascii="Arial" w:hAnsi="Arial" w:cs="Arial"/>
                <w:sz w:val="20"/>
                <w:szCs w:val="20"/>
              </w:rPr>
              <w:t>12%</w:t>
            </w:r>
          </w:p>
        </w:tc>
      </w:tr>
      <w:tr w:rsidR="005F6F8C" w14:paraId="4D3EE4AA" w14:textId="77777777" w:rsidTr="005F6F8C">
        <w:tc>
          <w:tcPr>
            <w:tcW w:w="1980" w:type="dxa"/>
          </w:tcPr>
          <w:p w14:paraId="60987D7B" w14:textId="70E34270" w:rsidR="005F6F8C" w:rsidRDefault="005F6F8C" w:rsidP="00372E29">
            <w:pPr>
              <w:rPr>
                <w:rFonts w:ascii="Arial" w:hAnsi="Arial" w:cs="Arial"/>
                <w:sz w:val="20"/>
                <w:szCs w:val="20"/>
              </w:rPr>
            </w:pPr>
            <w:r>
              <w:rPr>
                <w:rFonts w:ascii="Arial" w:hAnsi="Arial" w:cs="Arial"/>
                <w:sz w:val="20"/>
                <w:szCs w:val="20"/>
              </w:rPr>
              <w:t>Food to go</w:t>
            </w:r>
          </w:p>
        </w:tc>
        <w:tc>
          <w:tcPr>
            <w:tcW w:w="709" w:type="dxa"/>
          </w:tcPr>
          <w:p w14:paraId="5512CC92" w14:textId="58E5500C" w:rsidR="005F6F8C" w:rsidRDefault="005F6F8C" w:rsidP="00372E29">
            <w:pPr>
              <w:rPr>
                <w:rFonts w:ascii="Arial" w:hAnsi="Arial" w:cs="Arial"/>
                <w:sz w:val="20"/>
                <w:szCs w:val="20"/>
              </w:rPr>
            </w:pPr>
            <w:r>
              <w:rPr>
                <w:rFonts w:ascii="Arial" w:hAnsi="Arial" w:cs="Arial"/>
                <w:sz w:val="20"/>
                <w:szCs w:val="20"/>
              </w:rPr>
              <w:t>11%</w:t>
            </w:r>
          </w:p>
        </w:tc>
      </w:tr>
    </w:tbl>
    <w:p w14:paraId="17E6C3BD" w14:textId="77777777" w:rsidR="005F6F8C" w:rsidRDefault="005F6F8C" w:rsidP="00372E29">
      <w:pPr>
        <w:rPr>
          <w:rFonts w:ascii="Arial" w:hAnsi="Arial" w:cs="Arial"/>
          <w:sz w:val="20"/>
          <w:szCs w:val="20"/>
        </w:rPr>
      </w:pPr>
    </w:p>
    <w:p w14:paraId="1FE56B7C" w14:textId="0694A1F5" w:rsidR="00CB627F" w:rsidRDefault="005F6F8C" w:rsidP="005F6F8C">
      <w:pPr>
        <w:rPr>
          <w:rFonts w:ascii="Arial" w:hAnsi="Arial" w:cs="Arial"/>
          <w:sz w:val="20"/>
          <w:szCs w:val="20"/>
        </w:rPr>
      </w:pPr>
      <w:r w:rsidRPr="005F6F8C">
        <w:rPr>
          <w:rFonts w:ascii="Arial" w:hAnsi="Arial" w:cs="Arial"/>
          <w:sz w:val="20"/>
          <w:szCs w:val="20"/>
        </w:rPr>
        <w:t>Shop visits are becoming more planned due to the impact of coronavirus</w:t>
      </w:r>
      <w:r>
        <w:rPr>
          <w:rFonts w:ascii="Arial" w:hAnsi="Arial" w:cs="Arial"/>
          <w:sz w:val="20"/>
          <w:szCs w:val="20"/>
        </w:rPr>
        <w:t>,</w:t>
      </w:r>
      <w:r w:rsidRPr="005F6F8C">
        <w:rPr>
          <w:rFonts w:ascii="Arial" w:hAnsi="Arial" w:cs="Arial"/>
          <w:sz w:val="20"/>
          <w:szCs w:val="20"/>
        </w:rPr>
        <w:t xml:space="preserve"> as shoppers have grown</w:t>
      </w:r>
      <w:r>
        <w:rPr>
          <w:rFonts w:ascii="Arial" w:hAnsi="Arial" w:cs="Arial"/>
          <w:sz w:val="20"/>
          <w:szCs w:val="20"/>
        </w:rPr>
        <w:t xml:space="preserve"> </w:t>
      </w:r>
      <w:r w:rsidRPr="005F6F8C">
        <w:rPr>
          <w:rFonts w:ascii="Arial" w:hAnsi="Arial" w:cs="Arial"/>
          <w:sz w:val="20"/>
          <w:szCs w:val="20"/>
        </w:rPr>
        <w:t xml:space="preserve">used to quieter diaries and less frequent shopping. The Meal </w:t>
      </w:r>
      <w:r>
        <w:rPr>
          <w:rFonts w:ascii="Arial" w:hAnsi="Arial" w:cs="Arial"/>
          <w:sz w:val="20"/>
          <w:szCs w:val="20"/>
        </w:rPr>
        <w:t>o</w:t>
      </w:r>
      <w:r w:rsidRPr="005F6F8C">
        <w:rPr>
          <w:rFonts w:ascii="Arial" w:hAnsi="Arial" w:cs="Arial"/>
          <w:sz w:val="20"/>
          <w:szCs w:val="20"/>
        </w:rPr>
        <w:t xml:space="preserve">ccasion mission ranks in the top </w:t>
      </w:r>
      <w:r>
        <w:rPr>
          <w:rFonts w:ascii="Arial" w:hAnsi="Arial" w:cs="Arial"/>
          <w:sz w:val="20"/>
          <w:szCs w:val="20"/>
        </w:rPr>
        <w:t>three</w:t>
      </w:r>
      <w:r w:rsidRPr="005F6F8C">
        <w:rPr>
          <w:rFonts w:ascii="Arial" w:hAnsi="Arial" w:cs="Arial"/>
          <w:sz w:val="20"/>
          <w:szCs w:val="20"/>
        </w:rPr>
        <w:t xml:space="preserve"> most common missions, driven</w:t>
      </w:r>
      <w:r>
        <w:rPr>
          <w:rFonts w:ascii="Arial" w:hAnsi="Arial" w:cs="Arial"/>
          <w:sz w:val="20"/>
          <w:szCs w:val="20"/>
        </w:rPr>
        <w:t xml:space="preserve"> </w:t>
      </w:r>
      <w:r w:rsidRPr="005F6F8C">
        <w:rPr>
          <w:rFonts w:ascii="Arial" w:hAnsi="Arial" w:cs="Arial"/>
          <w:sz w:val="20"/>
          <w:szCs w:val="20"/>
        </w:rPr>
        <w:t>by government restrictions placed on the hospitality industry. Retailers can drive spend within the meal occasion mission through</w:t>
      </w:r>
      <w:r>
        <w:rPr>
          <w:rFonts w:ascii="Arial" w:hAnsi="Arial" w:cs="Arial"/>
          <w:sz w:val="20"/>
          <w:szCs w:val="20"/>
        </w:rPr>
        <w:t xml:space="preserve"> </w:t>
      </w:r>
      <w:r w:rsidRPr="005F6F8C">
        <w:rPr>
          <w:rFonts w:ascii="Arial" w:hAnsi="Arial" w:cs="Arial"/>
          <w:sz w:val="20"/>
          <w:szCs w:val="20"/>
        </w:rPr>
        <w:t>meal merchandising and promotions that encourage upsell</w:t>
      </w:r>
      <w:r>
        <w:rPr>
          <w:rFonts w:ascii="Arial" w:hAnsi="Arial" w:cs="Arial"/>
          <w:sz w:val="20"/>
          <w:szCs w:val="20"/>
        </w:rPr>
        <w:t>.</w:t>
      </w:r>
    </w:p>
    <w:p w14:paraId="0F15F567" w14:textId="391276CE" w:rsidR="005F6F8C" w:rsidRPr="00A36137" w:rsidRDefault="005F6F8C" w:rsidP="005F6F8C">
      <w:pPr>
        <w:rPr>
          <w:rFonts w:ascii="Arial" w:hAnsi="Arial" w:cs="Arial"/>
          <w:b/>
          <w:bCs/>
          <w:sz w:val="20"/>
          <w:szCs w:val="20"/>
        </w:rPr>
      </w:pPr>
      <w:r w:rsidRPr="00A36137">
        <w:rPr>
          <w:rFonts w:ascii="Arial" w:hAnsi="Arial" w:cs="Arial"/>
          <w:b/>
          <w:bCs/>
          <w:sz w:val="20"/>
          <w:szCs w:val="20"/>
        </w:rPr>
        <w:t>The convenience market expected to total £47.1bn in 2024</w:t>
      </w:r>
    </w:p>
    <w:p w14:paraId="007D26C5" w14:textId="4E926EBC" w:rsidR="00CB627F" w:rsidRDefault="00F560F8" w:rsidP="00372E29">
      <w:pPr>
        <w:rPr>
          <w:rFonts w:ascii="Arial" w:hAnsi="Arial" w:cs="Arial"/>
          <w:sz w:val="20"/>
          <w:szCs w:val="20"/>
        </w:rPr>
      </w:pPr>
      <w:r>
        <w:rPr>
          <w:rFonts w:ascii="Arial" w:hAnsi="Arial" w:cs="Arial"/>
          <w:sz w:val="20"/>
          <w:szCs w:val="20"/>
        </w:rPr>
        <w:t>After a slowdown in 2021, convenience market growth is set to pick back up between 2022-24 and be worth £47.1bn in 2024 -</w:t>
      </w:r>
      <w:r w:rsidRPr="00F560F8">
        <w:rPr>
          <w:rFonts w:ascii="Arial" w:hAnsi="Arial" w:cs="Arial"/>
          <w:sz w:val="20"/>
          <w:szCs w:val="20"/>
        </w:rPr>
        <w:t xml:space="preserve"> a net increase of +£3.9 billion from 2021.</w:t>
      </w:r>
    </w:p>
    <w:p w14:paraId="3EF06548" w14:textId="151EC535" w:rsidR="007C2184" w:rsidRDefault="001C257C" w:rsidP="00EB6EF0">
      <w:pPr>
        <w:rPr>
          <w:rFonts w:ascii="Arial" w:hAnsi="Arial" w:cs="Arial"/>
          <w:sz w:val="20"/>
          <w:szCs w:val="20"/>
        </w:rPr>
      </w:pPr>
      <w:r>
        <w:rPr>
          <w:rFonts w:ascii="Arial" w:hAnsi="Arial" w:cs="Arial"/>
          <w:sz w:val="20"/>
          <w:szCs w:val="20"/>
        </w:rPr>
        <w:t>Commenting on the results, Blonnie Whist, Insight</w:t>
      </w:r>
      <w:r w:rsidR="006247CE">
        <w:rPr>
          <w:rFonts w:ascii="Arial" w:hAnsi="Arial" w:cs="Arial"/>
          <w:sz w:val="20"/>
          <w:szCs w:val="20"/>
        </w:rPr>
        <w:t xml:space="preserve"> Director</w:t>
      </w:r>
      <w:r>
        <w:rPr>
          <w:rFonts w:ascii="Arial" w:hAnsi="Arial" w:cs="Arial"/>
          <w:sz w:val="20"/>
          <w:szCs w:val="20"/>
        </w:rPr>
        <w:t xml:space="preserve"> at Lumina Intelligence said, </w:t>
      </w:r>
      <w:r w:rsidR="007C2184">
        <w:rPr>
          <w:rFonts w:ascii="Arial" w:hAnsi="Arial" w:cs="Arial"/>
          <w:sz w:val="20"/>
          <w:szCs w:val="20"/>
        </w:rPr>
        <w:t>“Following an extraordinary 2020, it is unsurprising that growth within UK convenience retail has slowed. As</w:t>
      </w:r>
      <w:r w:rsidR="00EB6EF0">
        <w:rPr>
          <w:rFonts w:ascii="Arial" w:hAnsi="Arial" w:cs="Arial"/>
          <w:sz w:val="20"/>
          <w:szCs w:val="20"/>
        </w:rPr>
        <w:t xml:space="preserve"> restrictions ease and hospitality fully reopens, there will be a rebalancing of meal occasions. </w:t>
      </w:r>
      <w:r w:rsidR="00EB6EF0" w:rsidRPr="00EB6EF0">
        <w:rPr>
          <w:rFonts w:ascii="Arial" w:hAnsi="Arial" w:cs="Arial"/>
          <w:sz w:val="20"/>
          <w:szCs w:val="20"/>
        </w:rPr>
        <w:t>Co</w:t>
      </w:r>
      <w:r w:rsidR="00EB6EF0">
        <w:rPr>
          <w:rFonts w:ascii="Arial" w:hAnsi="Arial" w:cs="Arial"/>
          <w:sz w:val="20"/>
          <w:szCs w:val="20"/>
        </w:rPr>
        <w:t>-</w:t>
      </w:r>
      <w:r w:rsidR="00EB6EF0" w:rsidRPr="00EB6EF0">
        <w:rPr>
          <w:rFonts w:ascii="Arial" w:hAnsi="Arial" w:cs="Arial"/>
          <w:sz w:val="20"/>
          <w:szCs w:val="20"/>
        </w:rPr>
        <w:t>operatives are set to</w:t>
      </w:r>
      <w:r w:rsidR="00EB6EF0">
        <w:rPr>
          <w:rFonts w:ascii="Arial" w:hAnsi="Arial" w:cs="Arial"/>
          <w:sz w:val="20"/>
          <w:szCs w:val="20"/>
        </w:rPr>
        <w:t xml:space="preserve"> </w:t>
      </w:r>
      <w:r w:rsidR="00EB6EF0" w:rsidRPr="00EB6EF0">
        <w:rPr>
          <w:rFonts w:ascii="Arial" w:hAnsi="Arial" w:cs="Arial"/>
          <w:sz w:val="20"/>
          <w:szCs w:val="20"/>
        </w:rPr>
        <w:t>continue to achieve strong</w:t>
      </w:r>
      <w:r w:rsidR="00EB6EF0">
        <w:rPr>
          <w:rFonts w:ascii="Arial" w:hAnsi="Arial" w:cs="Arial"/>
          <w:sz w:val="20"/>
          <w:szCs w:val="20"/>
        </w:rPr>
        <w:t xml:space="preserve"> </w:t>
      </w:r>
      <w:r w:rsidR="00EB6EF0" w:rsidRPr="00EB6EF0">
        <w:rPr>
          <w:rFonts w:ascii="Arial" w:hAnsi="Arial" w:cs="Arial"/>
          <w:sz w:val="20"/>
          <w:szCs w:val="20"/>
        </w:rPr>
        <w:t>growth in value and outlets</w:t>
      </w:r>
      <w:r w:rsidR="00EB6EF0">
        <w:rPr>
          <w:rFonts w:ascii="Arial" w:hAnsi="Arial" w:cs="Arial"/>
          <w:sz w:val="20"/>
          <w:szCs w:val="20"/>
        </w:rPr>
        <w:t xml:space="preserve"> </w:t>
      </w:r>
      <w:r w:rsidR="00EB6EF0" w:rsidRPr="00EB6EF0">
        <w:rPr>
          <w:rFonts w:ascii="Arial" w:hAnsi="Arial" w:cs="Arial"/>
          <w:sz w:val="20"/>
          <w:szCs w:val="20"/>
        </w:rPr>
        <w:t>with ambitious growth</w:t>
      </w:r>
      <w:r w:rsidR="00EB6EF0">
        <w:rPr>
          <w:rFonts w:ascii="Arial" w:hAnsi="Arial" w:cs="Arial"/>
          <w:sz w:val="20"/>
          <w:szCs w:val="20"/>
        </w:rPr>
        <w:t xml:space="preserve"> </w:t>
      </w:r>
      <w:r w:rsidR="00EB6EF0" w:rsidRPr="00EB6EF0">
        <w:rPr>
          <w:rFonts w:ascii="Arial" w:hAnsi="Arial" w:cs="Arial"/>
          <w:sz w:val="20"/>
          <w:szCs w:val="20"/>
        </w:rPr>
        <w:t>plans, further expansion</w:t>
      </w:r>
      <w:r w:rsidR="00EB6EF0">
        <w:rPr>
          <w:rFonts w:ascii="Arial" w:hAnsi="Arial" w:cs="Arial"/>
          <w:sz w:val="20"/>
          <w:szCs w:val="20"/>
        </w:rPr>
        <w:t xml:space="preserve"> </w:t>
      </w:r>
      <w:r w:rsidR="00EB6EF0" w:rsidRPr="00EB6EF0">
        <w:rPr>
          <w:rFonts w:ascii="Arial" w:hAnsi="Arial" w:cs="Arial"/>
          <w:sz w:val="20"/>
          <w:szCs w:val="20"/>
        </w:rPr>
        <w:t>into delivery operations</w:t>
      </w:r>
      <w:r w:rsidR="00EB6EF0">
        <w:rPr>
          <w:rFonts w:ascii="Arial" w:hAnsi="Arial" w:cs="Arial"/>
          <w:sz w:val="20"/>
          <w:szCs w:val="20"/>
        </w:rPr>
        <w:t xml:space="preserve"> </w:t>
      </w:r>
      <w:r w:rsidR="00EB6EF0" w:rsidRPr="00EB6EF0">
        <w:rPr>
          <w:rFonts w:ascii="Arial" w:hAnsi="Arial" w:cs="Arial"/>
          <w:sz w:val="20"/>
          <w:szCs w:val="20"/>
        </w:rPr>
        <w:t>and developments in own</w:t>
      </w:r>
      <w:r w:rsidR="00EB6EF0">
        <w:rPr>
          <w:rFonts w:ascii="Arial" w:hAnsi="Arial" w:cs="Arial"/>
          <w:sz w:val="20"/>
          <w:szCs w:val="20"/>
        </w:rPr>
        <w:t xml:space="preserve"> </w:t>
      </w:r>
      <w:r w:rsidR="00EB6EF0" w:rsidRPr="00EB6EF0">
        <w:rPr>
          <w:rFonts w:ascii="Arial" w:hAnsi="Arial" w:cs="Arial"/>
          <w:sz w:val="20"/>
          <w:szCs w:val="20"/>
        </w:rPr>
        <w:t>label.</w:t>
      </w:r>
      <w:r w:rsidR="00EB6EF0">
        <w:rPr>
          <w:rFonts w:ascii="Arial" w:hAnsi="Arial" w:cs="Arial"/>
          <w:sz w:val="20"/>
          <w:szCs w:val="20"/>
        </w:rPr>
        <w:t>”</w:t>
      </w:r>
    </w:p>
    <w:p w14:paraId="3C2AB0AF" w14:textId="7DB5B512" w:rsidR="00E956AE" w:rsidRDefault="001C257C" w:rsidP="00F560F8">
      <w:pPr>
        <w:rPr>
          <w:rFonts w:ascii="Arial" w:hAnsi="Arial" w:cs="Arial"/>
          <w:i/>
          <w:iCs/>
          <w:sz w:val="20"/>
          <w:szCs w:val="20"/>
        </w:rPr>
      </w:pPr>
      <w:r w:rsidRPr="00E362CA">
        <w:rPr>
          <w:rFonts w:ascii="Arial" w:hAnsi="Arial" w:cs="Arial"/>
          <w:i/>
          <w:iCs/>
          <w:sz w:val="20"/>
          <w:szCs w:val="20"/>
        </w:rPr>
        <w:t>“</w:t>
      </w:r>
      <w:r w:rsidR="00F560F8" w:rsidRPr="00F560F8">
        <w:rPr>
          <w:rFonts w:ascii="Arial" w:hAnsi="Arial" w:cs="Arial"/>
          <w:i/>
          <w:iCs/>
          <w:sz w:val="20"/>
          <w:szCs w:val="20"/>
        </w:rPr>
        <w:t>The convenience market has a unique opportunity to build on the customers and spend gained throughout the pandemic to continue to</w:t>
      </w:r>
      <w:r w:rsidR="00F560F8">
        <w:rPr>
          <w:rFonts w:ascii="Arial" w:hAnsi="Arial" w:cs="Arial"/>
          <w:i/>
          <w:iCs/>
          <w:sz w:val="20"/>
          <w:szCs w:val="20"/>
        </w:rPr>
        <w:t xml:space="preserve"> </w:t>
      </w:r>
      <w:r w:rsidR="00F560F8" w:rsidRPr="00F560F8">
        <w:rPr>
          <w:rFonts w:ascii="Arial" w:hAnsi="Arial" w:cs="Arial"/>
          <w:i/>
          <w:iCs/>
          <w:sz w:val="20"/>
          <w:szCs w:val="20"/>
        </w:rPr>
        <w:t>grow as a core shopping channel for consumers.</w:t>
      </w:r>
      <w:r w:rsidR="00F560F8">
        <w:rPr>
          <w:rFonts w:ascii="Arial" w:hAnsi="Arial" w:cs="Arial"/>
          <w:i/>
          <w:iCs/>
          <w:sz w:val="20"/>
          <w:szCs w:val="20"/>
        </w:rPr>
        <w:t xml:space="preserve"> </w:t>
      </w:r>
      <w:r w:rsidR="00F560F8" w:rsidRPr="00F560F8">
        <w:rPr>
          <w:rFonts w:ascii="Arial" w:hAnsi="Arial" w:cs="Arial"/>
          <w:i/>
          <w:iCs/>
          <w:sz w:val="20"/>
          <w:szCs w:val="20"/>
        </w:rPr>
        <w:t>Growth drivers in convenience will include the continued expansion and roll out of on</w:t>
      </w:r>
      <w:r w:rsidR="00F560F8">
        <w:rPr>
          <w:rFonts w:ascii="Arial" w:hAnsi="Arial" w:cs="Arial"/>
          <w:i/>
          <w:iCs/>
          <w:sz w:val="20"/>
          <w:szCs w:val="20"/>
        </w:rPr>
        <w:t>-</w:t>
      </w:r>
      <w:r w:rsidR="00F560F8" w:rsidRPr="00F560F8">
        <w:rPr>
          <w:rFonts w:ascii="Arial" w:hAnsi="Arial" w:cs="Arial"/>
          <w:i/>
          <w:iCs/>
          <w:sz w:val="20"/>
          <w:szCs w:val="20"/>
        </w:rPr>
        <w:t>demand and delivery services as well as click &amp; collect for larger more urban stores. Suburban stores can continue to enhance their role</w:t>
      </w:r>
      <w:r w:rsidR="0004714B">
        <w:rPr>
          <w:rFonts w:ascii="Arial" w:hAnsi="Arial" w:cs="Arial"/>
          <w:i/>
          <w:iCs/>
          <w:sz w:val="20"/>
          <w:szCs w:val="20"/>
        </w:rPr>
        <w:t xml:space="preserve"> </w:t>
      </w:r>
      <w:r w:rsidR="00F560F8" w:rsidRPr="00F560F8">
        <w:rPr>
          <w:rFonts w:ascii="Arial" w:hAnsi="Arial" w:cs="Arial"/>
          <w:i/>
          <w:iCs/>
          <w:sz w:val="20"/>
          <w:szCs w:val="20"/>
        </w:rPr>
        <w:t>as key community destinations including continuing to provide core household essentials and increasing reach into attractive lunchtime</w:t>
      </w:r>
      <w:r w:rsidR="0004714B">
        <w:rPr>
          <w:rFonts w:ascii="Arial" w:hAnsi="Arial" w:cs="Arial"/>
          <w:i/>
          <w:iCs/>
          <w:sz w:val="20"/>
          <w:szCs w:val="20"/>
        </w:rPr>
        <w:t xml:space="preserve"> </w:t>
      </w:r>
      <w:r w:rsidR="00F560F8" w:rsidRPr="00F560F8">
        <w:rPr>
          <w:rFonts w:ascii="Arial" w:hAnsi="Arial" w:cs="Arial"/>
          <w:i/>
          <w:iCs/>
          <w:sz w:val="20"/>
          <w:szCs w:val="20"/>
        </w:rPr>
        <w:t>meal solutions for home workers.</w:t>
      </w:r>
      <w:r w:rsidR="0004714B">
        <w:rPr>
          <w:rFonts w:ascii="Arial" w:hAnsi="Arial" w:cs="Arial"/>
          <w:i/>
          <w:iCs/>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C76B791" w14:textId="2C08E8E4" w:rsidR="0049573C" w:rsidRPr="0049573C" w:rsidRDefault="0049573C" w:rsidP="0049573C">
      <w:pPr>
        <w:rPr>
          <w:rFonts w:ascii="Arial" w:hAnsi="Arial" w:cs="Arial"/>
          <w:sz w:val="20"/>
          <w:szCs w:val="20"/>
        </w:rPr>
      </w:pPr>
      <w:r w:rsidRPr="0049573C">
        <w:rPr>
          <w:rFonts w:ascii="Arial" w:hAnsi="Arial" w:cs="Arial"/>
          <w:sz w:val="20"/>
          <w:szCs w:val="20"/>
        </w:rPr>
        <w:t xml:space="preserve">The Lumina Intelligence UK </w:t>
      </w:r>
      <w:r w:rsidR="00CB627F">
        <w:rPr>
          <w:rFonts w:ascii="Arial" w:hAnsi="Arial" w:cs="Arial"/>
          <w:sz w:val="20"/>
          <w:szCs w:val="20"/>
        </w:rPr>
        <w:t>Convenience Market</w:t>
      </w:r>
      <w:r w:rsidRPr="0049573C">
        <w:rPr>
          <w:rFonts w:ascii="Arial" w:hAnsi="Arial" w:cs="Arial"/>
          <w:sz w:val="20"/>
          <w:szCs w:val="20"/>
        </w:rPr>
        <w:t xml:space="preserve"> Report 2021 is the trusted source of insight for UK leading manufacturers and operators.</w:t>
      </w:r>
    </w:p>
    <w:p w14:paraId="354366F1" w14:textId="4123CF8C" w:rsidR="0049573C" w:rsidRDefault="0049573C" w:rsidP="0049573C">
      <w:pPr>
        <w:rPr>
          <w:rFonts w:ascii="Arial" w:hAnsi="Arial" w:cs="Arial"/>
          <w:sz w:val="20"/>
          <w:szCs w:val="20"/>
        </w:rPr>
      </w:pPr>
      <w:r>
        <w:rPr>
          <w:rFonts w:ascii="Arial" w:hAnsi="Arial" w:cs="Arial"/>
          <w:sz w:val="20"/>
          <w:szCs w:val="20"/>
        </w:rPr>
        <w:t>The report methodology includes:</w:t>
      </w:r>
    </w:p>
    <w:p w14:paraId="34560514" w14:textId="325CDD12"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1,500 weekly consumer surveys from Lumina</w:t>
      </w:r>
      <w:r w:rsidRPr="00CB627F">
        <w:rPr>
          <w:rFonts w:ascii="Arial" w:hAnsi="Arial" w:cs="Arial"/>
          <w:sz w:val="20"/>
          <w:szCs w:val="20"/>
        </w:rPr>
        <w:t xml:space="preserve"> </w:t>
      </w:r>
      <w:r w:rsidRPr="00CB627F">
        <w:rPr>
          <w:rFonts w:ascii="Arial" w:hAnsi="Arial" w:cs="Arial"/>
          <w:sz w:val="20"/>
          <w:szCs w:val="20"/>
        </w:rPr>
        <w:t>Intelligence Convenience Tracking Programme -</w:t>
      </w:r>
      <w:r w:rsidRPr="00CB627F">
        <w:rPr>
          <w:rFonts w:ascii="Arial" w:hAnsi="Arial" w:cs="Arial"/>
          <w:sz w:val="20"/>
          <w:szCs w:val="20"/>
        </w:rPr>
        <w:t xml:space="preserve"> </w:t>
      </w:r>
      <w:r w:rsidRPr="00CB627F">
        <w:rPr>
          <w:rFonts w:ascii="Arial" w:hAnsi="Arial" w:cs="Arial"/>
          <w:sz w:val="20"/>
          <w:szCs w:val="20"/>
        </w:rPr>
        <w:t>the UK’s largest UK convenience shopper study</w:t>
      </w:r>
    </w:p>
    <w:p w14:paraId="0C330011" w14:textId="6FED997B"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C</w:t>
      </w:r>
      <w:r w:rsidRPr="00CB627F">
        <w:rPr>
          <w:rFonts w:ascii="Arial" w:hAnsi="Arial" w:cs="Arial"/>
          <w:sz w:val="20"/>
          <w:szCs w:val="20"/>
        </w:rPr>
        <w:t>onvenience market sizing from Lumina</w:t>
      </w:r>
      <w:r w:rsidRPr="00CB627F">
        <w:rPr>
          <w:rFonts w:ascii="Arial" w:hAnsi="Arial" w:cs="Arial"/>
          <w:sz w:val="20"/>
          <w:szCs w:val="20"/>
        </w:rPr>
        <w:t xml:space="preserve"> </w:t>
      </w:r>
      <w:r w:rsidRPr="00CB627F">
        <w:rPr>
          <w:rFonts w:ascii="Arial" w:hAnsi="Arial" w:cs="Arial"/>
          <w:sz w:val="20"/>
          <w:szCs w:val="20"/>
        </w:rPr>
        <w:t>Intelligence Grocery Data Index, which provides</w:t>
      </w:r>
      <w:r w:rsidRPr="00CB627F">
        <w:rPr>
          <w:rFonts w:ascii="Arial" w:hAnsi="Arial" w:cs="Arial"/>
          <w:sz w:val="20"/>
          <w:szCs w:val="20"/>
        </w:rPr>
        <w:t xml:space="preserve"> </w:t>
      </w:r>
      <w:r w:rsidRPr="00CB627F">
        <w:rPr>
          <w:rFonts w:ascii="Arial" w:hAnsi="Arial" w:cs="Arial"/>
          <w:sz w:val="20"/>
          <w:szCs w:val="20"/>
        </w:rPr>
        <w:t>the structure, size and turnover of the retail market</w:t>
      </w:r>
      <w:r w:rsidRPr="00CB627F">
        <w:rPr>
          <w:rFonts w:ascii="Arial" w:hAnsi="Arial" w:cs="Arial"/>
          <w:sz w:val="20"/>
          <w:szCs w:val="20"/>
        </w:rPr>
        <w:t xml:space="preserve"> </w:t>
      </w:r>
      <w:r w:rsidRPr="00CB627F">
        <w:rPr>
          <w:rFonts w:ascii="Arial" w:hAnsi="Arial" w:cs="Arial"/>
          <w:sz w:val="20"/>
          <w:szCs w:val="20"/>
        </w:rPr>
        <w:t>with data for over +120 retailers.</w:t>
      </w:r>
    </w:p>
    <w:p w14:paraId="15DE1394" w14:textId="2019CC2E"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Channel detail and topical content and subject</w:t>
      </w:r>
      <w:r w:rsidRPr="00CB627F">
        <w:rPr>
          <w:rFonts w:ascii="Arial" w:hAnsi="Arial" w:cs="Arial"/>
          <w:sz w:val="20"/>
          <w:szCs w:val="20"/>
        </w:rPr>
        <w:t xml:space="preserve"> </w:t>
      </w:r>
      <w:r w:rsidRPr="00CB627F">
        <w:rPr>
          <w:rFonts w:ascii="Arial" w:hAnsi="Arial" w:cs="Arial"/>
          <w:sz w:val="20"/>
          <w:szCs w:val="20"/>
        </w:rPr>
        <w:t>deep dives from Lumina Intelligence Channel</w:t>
      </w:r>
      <w:r w:rsidRPr="00CB627F">
        <w:rPr>
          <w:rFonts w:ascii="Arial" w:hAnsi="Arial" w:cs="Arial"/>
          <w:sz w:val="20"/>
          <w:szCs w:val="20"/>
        </w:rPr>
        <w:t xml:space="preserve"> </w:t>
      </w:r>
      <w:r w:rsidRPr="00CB627F">
        <w:rPr>
          <w:rFonts w:ascii="Arial" w:hAnsi="Arial" w:cs="Arial"/>
          <w:sz w:val="20"/>
          <w:szCs w:val="20"/>
        </w:rPr>
        <w:t>Pulse - 1,000 consumer interviews across UK</w:t>
      </w:r>
      <w:r w:rsidRPr="00CB627F">
        <w:rPr>
          <w:rFonts w:ascii="Arial" w:hAnsi="Arial" w:cs="Arial"/>
          <w:sz w:val="20"/>
          <w:szCs w:val="20"/>
        </w:rPr>
        <w:t xml:space="preserve"> </w:t>
      </w:r>
      <w:r w:rsidRPr="00CB627F">
        <w:rPr>
          <w:rFonts w:ascii="Arial" w:hAnsi="Arial" w:cs="Arial"/>
          <w:sz w:val="20"/>
          <w:szCs w:val="20"/>
        </w:rPr>
        <w:t>grocery retail shoppers.</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EB6EF0"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A4DC4"/>
    <w:multiLevelType w:val="hybridMultilevel"/>
    <w:tmpl w:val="21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8"/>
  </w:num>
  <w:num w:numId="5">
    <w:abstractNumId w:val="4"/>
  </w:num>
  <w:num w:numId="6">
    <w:abstractNumId w:val="9"/>
  </w:num>
  <w:num w:numId="7">
    <w:abstractNumId w:val="0"/>
  </w:num>
  <w:num w:numId="8">
    <w:abstractNumId w:val="12"/>
  </w:num>
  <w:num w:numId="9">
    <w:abstractNumId w:val="3"/>
  </w:num>
  <w:num w:numId="10">
    <w:abstractNumId w:val="1"/>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714B"/>
    <w:rsid w:val="000540D1"/>
    <w:rsid w:val="00072404"/>
    <w:rsid w:val="000C14C9"/>
    <w:rsid w:val="000D72C7"/>
    <w:rsid w:val="000F1972"/>
    <w:rsid w:val="00113451"/>
    <w:rsid w:val="00116246"/>
    <w:rsid w:val="00117161"/>
    <w:rsid w:val="001249C3"/>
    <w:rsid w:val="00130BE2"/>
    <w:rsid w:val="001B2875"/>
    <w:rsid w:val="001C257C"/>
    <w:rsid w:val="001C2E4F"/>
    <w:rsid w:val="001C50C1"/>
    <w:rsid w:val="001C589F"/>
    <w:rsid w:val="001C5B98"/>
    <w:rsid w:val="001C65B6"/>
    <w:rsid w:val="001D612C"/>
    <w:rsid w:val="0020205C"/>
    <w:rsid w:val="00214D95"/>
    <w:rsid w:val="00217EE3"/>
    <w:rsid w:val="00261F91"/>
    <w:rsid w:val="002723AE"/>
    <w:rsid w:val="00284E8B"/>
    <w:rsid w:val="00285BD0"/>
    <w:rsid w:val="002A0F0F"/>
    <w:rsid w:val="002A1E6A"/>
    <w:rsid w:val="002B740C"/>
    <w:rsid w:val="002B747C"/>
    <w:rsid w:val="002F0BB4"/>
    <w:rsid w:val="002F7EAF"/>
    <w:rsid w:val="00302E10"/>
    <w:rsid w:val="00332724"/>
    <w:rsid w:val="00345B52"/>
    <w:rsid w:val="00363346"/>
    <w:rsid w:val="0036362F"/>
    <w:rsid w:val="00372E29"/>
    <w:rsid w:val="003C4BB2"/>
    <w:rsid w:val="003E204B"/>
    <w:rsid w:val="003E4324"/>
    <w:rsid w:val="003F621E"/>
    <w:rsid w:val="00407BDB"/>
    <w:rsid w:val="00437579"/>
    <w:rsid w:val="0044412F"/>
    <w:rsid w:val="00471332"/>
    <w:rsid w:val="00493A4C"/>
    <w:rsid w:val="0049573C"/>
    <w:rsid w:val="004B1277"/>
    <w:rsid w:val="004B3902"/>
    <w:rsid w:val="004D23F6"/>
    <w:rsid w:val="004E551E"/>
    <w:rsid w:val="004F1FF8"/>
    <w:rsid w:val="004F62D9"/>
    <w:rsid w:val="00511B5A"/>
    <w:rsid w:val="00550B08"/>
    <w:rsid w:val="0055150D"/>
    <w:rsid w:val="00553497"/>
    <w:rsid w:val="00566CAE"/>
    <w:rsid w:val="005B7B3F"/>
    <w:rsid w:val="005C0F44"/>
    <w:rsid w:val="005C7794"/>
    <w:rsid w:val="005E7052"/>
    <w:rsid w:val="005F6F8C"/>
    <w:rsid w:val="00604B4A"/>
    <w:rsid w:val="006120E6"/>
    <w:rsid w:val="006247CE"/>
    <w:rsid w:val="0064548D"/>
    <w:rsid w:val="0064772D"/>
    <w:rsid w:val="00664850"/>
    <w:rsid w:val="006B7F83"/>
    <w:rsid w:val="006D1829"/>
    <w:rsid w:val="006E735F"/>
    <w:rsid w:val="006E79FF"/>
    <w:rsid w:val="007075BD"/>
    <w:rsid w:val="00720ABB"/>
    <w:rsid w:val="007221DF"/>
    <w:rsid w:val="007229E3"/>
    <w:rsid w:val="007446FD"/>
    <w:rsid w:val="00755025"/>
    <w:rsid w:val="0076037A"/>
    <w:rsid w:val="007716CF"/>
    <w:rsid w:val="007863A3"/>
    <w:rsid w:val="007B4F7A"/>
    <w:rsid w:val="007C2184"/>
    <w:rsid w:val="007F3C85"/>
    <w:rsid w:val="008249B4"/>
    <w:rsid w:val="008276B8"/>
    <w:rsid w:val="00846DDB"/>
    <w:rsid w:val="00862CCB"/>
    <w:rsid w:val="008852CE"/>
    <w:rsid w:val="008A46AD"/>
    <w:rsid w:val="008B3101"/>
    <w:rsid w:val="008D4655"/>
    <w:rsid w:val="008E317A"/>
    <w:rsid w:val="008E5A63"/>
    <w:rsid w:val="00906A89"/>
    <w:rsid w:val="0094762B"/>
    <w:rsid w:val="00976FE8"/>
    <w:rsid w:val="009A17EF"/>
    <w:rsid w:val="009A6775"/>
    <w:rsid w:val="009C613A"/>
    <w:rsid w:val="009D1543"/>
    <w:rsid w:val="009D7AE0"/>
    <w:rsid w:val="00A3135A"/>
    <w:rsid w:val="00A36137"/>
    <w:rsid w:val="00A95E5C"/>
    <w:rsid w:val="00AA3F19"/>
    <w:rsid w:val="00AB3399"/>
    <w:rsid w:val="00AD236E"/>
    <w:rsid w:val="00AE1B2B"/>
    <w:rsid w:val="00AE6B2F"/>
    <w:rsid w:val="00B03B5B"/>
    <w:rsid w:val="00B06987"/>
    <w:rsid w:val="00B06B5C"/>
    <w:rsid w:val="00B414CE"/>
    <w:rsid w:val="00B42877"/>
    <w:rsid w:val="00B46E6F"/>
    <w:rsid w:val="00B94AC2"/>
    <w:rsid w:val="00BA596C"/>
    <w:rsid w:val="00BA5FFC"/>
    <w:rsid w:val="00BB4747"/>
    <w:rsid w:val="00BC0036"/>
    <w:rsid w:val="00BE00D3"/>
    <w:rsid w:val="00BF4DC8"/>
    <w:rsid w:val="00BF6B5A"/>
    <w:rsid w:val="00C04D48"/>
    <w:rsid w:val="00C16ADB"/>
    <w:rsid w:val="00C270FD"/>
    <w:rsid w:val="00C273A6"/>
    <w:rsid w:val="00C30C1F"/>
    <w:rsid w:val="00C51532"/>
    <w:rsid w:val="00C545F0"/>
    <w:rsid w:val="00C77C17"/>
    <w:rsid w:val="00C86028"/>
    <w:rsid w:val="00CB101B"/>
    <w:rsid w:val="00CB38ED"/>
    <w:rsid w:val="00CB627F"/>
    <w:rsid w:val="00CE6B8A"/>
    <w:rsid w:val="00D07C64"/>
    <w:rsid w:val="00D25202"/>
    <w:rsid w:val="00D30793"/>
    <w:rsid w:val="00D308D1"/>
    <w:rsid w:val="00D36AF3"/>
    <w:rsid w:val="00D81C35"/>
    <w:rsid w:val="00DA3FA1"/>
    <w:rsid w:val="00DB2AFC"/>
    <w:rsid w:val="00DD5EEB"/>
    <w:rsid w:val="00E214AC"/>
    <w:rsid w:val="00E362CA"/>
    <w:rsid w:val="00E56A95"/>
    <w:rsid w:val="00E6199F"/>
    <w:rsid w:val="00E72427"/>
    <w:rsid w:val="00E734FF"/>
    <w:rsid w:val="00E956AE"/>
    <w:rsid w:val="00E975B9"/>
    <w:rsid w:val="00EA1B39"/>
    <w:rsid w:val="00EB6EF0"/>
    <w:rsid w:val="00EC455C"/>
    <w:rsid w:val="00ED0369"/>
    <w:rsid w:val="00ED2C5E"/>
    <w:rsid w:val="00ED3ABD"/>
    <w:rsid w:val="00EE59D7"/>
    <w:rsid w:val="00F16921"/>
    <w:rsid w:val="00F30CBB"/>
    <w:rsid w:val="00F43C71"/>
    <w:rsid w:val="00F560F8"/>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 w:type="table" w:styleId="TableGrid">
    <w:name w:val="Table Grid"/>
    <w:basedOn w:val="TableNormal"/>
    <w:uiPriority w:val="39"/>
    <w:rsid w:val="005F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2021-07-13T16:09:00Z</dcterms:created>
  <dcterms:modified xsi:type="dcterms:W3CDTF">2021-07-14T12:19:00Z</dcterms:modified>
</cp:coreProperties>
</file>