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7">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50116A" w:rsidP="00ED3ABD">
      <w:pPr>
        <w:spacing w:after="0" w:line="240" w:lineRule="auto"/>
        <w:rPr>
          <w:rStyle w:val="Hyperlink"/>
          <w:rFonts w:ascii="Arial" w:hAnsi="Arial" w:cs="Arial"/>
          <w:color w:val="505050"/>
          <w:sz w:val="18"/>
          <w:szCs w:val="18"/>
        </w:rPr>
      </w:pPr>
      <w:hyperlink r:id="rId8"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04FD4EF9" w:rsidR="00ED3ABD" w:rsidRPr="00550B08" w:rsidRDefault="00B42877"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2</w:t>
      </w:r>
      <w:r w:rsidR="0050116A">
        <w:rPr>
          <w:rStyle w:val="Hyperlink"/>
          <w:rFonts w:ascii="Arial" w:hAnsi="Arial" w:cs="Arial"/>
          <w:b/>
          <w:bCs/>
          <w:color w:val="505050"/>
          <w:sz w:val="18"/>
          <w:szCs w:val="18"/>
          <w:u w:val="none"/>
        </w:rPr>
        <w:t>6</w:t>
      </w:r>
      <w:r w:rsidR="0020205C">
        <w:rPr>
          <w:rStyle w:val="Hyperlink"/>
          <w:rFonts w:ascii="Arial" w:hAnsi="Arial" w:cs="Arial"/>
          <w:b/>
          <w:bCs/>
          <w:color w:val="505050"/>
          <w:sz w:val="18"/>
          <w:szCs w:val="18"/>
          <w:u w:val="none"/>
        </w:rPr>
        <w:t xml:space="preserve"> Ju</w:t>
      </w:r>
      <w:r w:rsidR="00372E29">
        <w:rPr>
          <w:rStyle w:val="Hyperlink"/>
          <w:rFonts w:ascii="Arial" w:hAnsi="Arial" w:cs="Arial"/>
          <w:b/>
          <w:bCs/>
          <w:color w:val="505050"/>
          <w:sz w:val="18"/>
          <w:szCs w:val="18"/>
          <w:u w:val="none"/>
        </w:rPr>
        <w:t>ly</w:t>
      </w:r>
      <w:r w:rsidR="003C4BB2" w:rsidRPr="00550B08">
        <w:rPr>
          <w:rStyle w:val="Hyperlink"/>
          <w:rFonts w:ascii="Arial" w:hAnsi="Arial" w:cs="Arial"/>
          <w:b/>
          <w:bCs/>
          <w:color w:val="505050"/>
          <w:sz w:val="18"/>
          <w:szCs w:val="18"/>
          <w:u w:val="none"/>
        </w:rPr>
        <w:t xml:space="preserve"> 202</w:t>
      </w:r>
      <w:r w:rsidR="00D36AF3">
        <w:rPr>
          <w:rStyle w:val="Hyperlink"/>
          <w:rFonts w:ascii="Arial" w:hAnsi="Arial" w:cs="Arial"/>
          <w:b/>
          <w:bCs/>
          <w:color w:val="505050"/>
          <w:sz w:val="18"/>
          <w:szCs w:val="18"/>
          <w:u w:val="none"/>
        </w:rPr>
        <w:t>1</w:t>
      </w:r>
    </w:p>
    <w:p w14:paraId="04302EA3" w14:textId="77777777" w:rsidR="0055150D" w:rsidRDefault="0055150D" w:rsidP="00C545F0">
      <w:pPr>
        <w:jc w:val="center"/>
        <w:rPr>
          <w:rFonts w:ascii="Arial" w:hAnsi="Arial" w:cs="Arial"/>
          <w:b/>
          <w:bCs/>
          <w:sz w:val="32"/>
          <w:szCs w:val="32"/>
        </w:rPr>
      </w:pPr>
    </w:p>
    <w:p w14:paraId="275BB4BB" w14:textId="30ED4B69" w:rsidR="00DD5EEB" w:rsidRDefault="006A39BA" w:rsidP="00DB2AFC">
      <w:pPr>
        <w:jc w:val="center"/>
        <w:rPr>
          <w:rFonts w:ascii="Arial" w:hAnsi="Arial" w:cs="Arial"/>
          <w:b/>
          <w:bCs/>
          <w:sz w:val="32"/>
          <w:szCs w:val="32"/>
        </w:rPr>
      </w:pPr>
      <w:r>
        <w:rPr>
          <w:rFonts w:ascii="Arial" w:hAnsi="Arial" w:cs="Arial"/>
          <w:b/>
          <w:bCs/>
          <w:sz w:val="32"/>
          <w:szCs w:val="32"/>
        </w:rPr>
        <w:t>One-in-five convenience purchases made in HFSS restricted locations</w:t>
      </w:r>
    </w:p>
    <w:p w14:paraId="51687D77" w14:textId="77777777" w:rsidR="00372E29" w:rsidRDefault="00372E29" w:rsidP="00372E29">
      <w:pPr>
        <w:rPr>
          <w:rFonts w:ascii="Arial" w:hAnsi="Arial" w:cs="Arial"/>
          <w:sz w:val="20"/>
          <w:szCs w:val="20"/>
        </w:rPr>
      </w:pPr>
    </w:p>
    <w:p w14:paraId="7988F690" w14:textId="77777777" w:rsidR="00B57E3C" w:rsidRDefault="00372E29" w:rsidP="00372E29">
      <w:pPr>
        <w:rPr>
          <w:rFonts w:ascii="Arial" w:hAnsi="Arial" w:cs="Arial"/>
          <w:sz w:val="20"/>
          <w:szCs w:val="20"/>
        </w:rPr>
      </w:pPr>
      <w:r>
        <w:rPr>
          <w:rFonts w:ascii="Arial" w:hAnsi="Arial" w:cs="Arial"/>
          <w:sz w:val="20"/>
          <w:szCs w:val="20"/>
        </w:rPr>
        <w:t xml:space="preserve">According to the Lumina Intelligence </w:t>
      </w:r>
      <w:r w:rsidR="00B42877">
        <w:rPr>
          <w:rFonts w:ascii="Arial" w:hAnsi="Arial" w:cs="Arial"/>
          <w:sz w:val="20"/>
          <w:szCs w:val="20"/>
        </w:rPr>
        <w:t xml:space="preserve">UK Convenience Market Report 2021, </w:t>
      </w:r>
      <w:r w:rsidR="000F3329" w:rsidRPr="00164610">
        <w:rPr>
          <w:rFonts w:ascii="Arial" w:hAnsi="Arial" w:cs="Arial"/>
          <w:b/>
          <w:bCs/>
          <w:sz w:val="20"/>
          <w:szCs w:val="20"/>
        </w:rPr>
        <w:t xml:space="preserve">19% of </w:t>
      </w:r>
      <w:r w:rsidR="00B57E3C" w:rsidRPr="00164610">
        <w:rPr>
          <w:rFonts w:ascii="Arial" w:hAnsi="Arial" w:cs="Arial"/>
          <w:b/>
          <w:bCs/>
          <w:sz w:val="20"/>
          <w:szCs w:val="20"/>
        </w:rPr>
        <w:t>products purchased</w:t>
      </w:r>
      <w:r w:rsidR="000F3329" w:rsidRPr="00164610">
        <w:rPr>
          <w:rFonts w:ascii="Arial" w:hAnsi="Arial" w:cs="Arial"/>
          <w:b/>
          <w:bCs/>
          <w:sz w:val="20"/>
          <w:szCs w:val="20"/>
        </w:rPr>
        <w:t xml:space="preserve"> within convenience stores</w:t>
      </w:r>
      <w:r w:rsidR="00B57E3C" w:rsidRPr="00164610">
        <w:rPr>
          <w:rFonts w:ascii="Arial" w:hAnsi="Arial" w:cs="Arial"/>
          <w:b/>
          <w:bCs/>
          <w:sz w:val="20"/>
          <w:szCs w:val="20"/>
        </w:rPr>
        <w:t xml:space="preserve"> are picked up from areas that face HFSS restrictions.</w:t>
      </w:r>
    </w:p>
    <w:p w14:paraId="35E1B603" w14:textId="022754EC" w:rsidR="00164610" w:rsidRDefault="009C5814" w:rsidP="00372E29">
      <w:pPr>
        <w:rPr>
          <w:rFonts w:ascii="Arial" w:hAnsi="Arial" w:cs="Arial"/>
          <w:sz w:val="20"/>
          <w:szCs w:val="20"/>
        </w:rPr>
      </w:pPr>
      <w:r>
        <w:rPr>
          <w:rFonts w:ascii="Arial" w:hAnsi="Arial" w:cs="Arial"/>
          <w:sz w:val="20"/>
          <w:szCs w:val="20"/>
        </w:rPr>
        <w:t xml:space="preserve">Legislation is set to impact stores </w:t>
      </w:r>
      <w:r w:rsidR="002624EC" w:rsidRPr="002624EC">
        <w:rPr>
          <w:rFonts w:ascii="Arial" w:hAnsi="Arial" w:cs="Arial"/>
          <w:sz w:val="20"/>
          <w:szCs w:val="20"/>
        </w:rPr>
        <w:t>over 2,000 square feet or with more than 50 staff</w:t>
      </w:r>
      <w:r>
        <w:rPr>
          <w:rFonts w:ascii="Arial" w:hAnsi="Arial" w:cs="Arial"/>
          <w:sz w:val="20"/>
          <w:szCs w:val="20"/>
        </w:rPr>
        <w:t xml:space="preserve"> and will </w:t>
      </w:r>
      <w:r w:rsidR="00B71D91">
        <w:rPr>
          <w:rFonts w:ascii="Arial" w:hAnsi="Arial" w:cs="Arial"/>
          <w:sz w:val="20"/>
          <w:szCs w:val="20"/>
        </w:rPr>
        <w:t>include restrictions on promotions and product placement of HFSS products.</w:t>
      </w:r>
    </w:p>
    <w:p w14:paraId="7267EA3F" w14:textId="68652816" w:rsidR="00B71D91" w:rsidRDefault="00B71D91" w:rsidP="00B71D91">
      <w:pPr>
        <w:rPr>
          <w:rFonts w:ascii="Arial" w:hAnsi="Arial" w:cs="Arial"/>
          <w:b/>
          <w:bCs/>
          <w:sz w:val="20"/>
          <w:szCs w:val="20"/>
        </w:rPr>
      </w:pPr>
      <w:r w:rsidRPr="00B71D91">
        <w:rPr>
          <w:rFonts w:ascii="Arial" w:hAnsi="Arial" w:cs="Arial"/>
          <w:b/>
          <w:bCs/>
          <w:sz w:val="20"/>
          <w:szCs w:val="20"/>
        </w:rPr>
        <w:t>3 of</w:t>
      </w:r>
      <w:r>
        <w:rPr>
          <w:rFonts w:ascii="Arial" w:hAnsi="Arial" w:cs="Arial"/>
          <w:b/>
          <w:bCs/>
          <w:sz w:val="20"/>
          <w:szCs w:val="20"/>
        </w:rPr>
        <w:t xml:space="preserve"> top</w:t>
      </w:r>
      <w:r w:rsidRPr="00B71D91">
        <w:rPr>
          <w:rFonts w:ascii="Arial" w:hAnsi="Arial" w:cs="Arial"/>
          <w:b/>
          <w:bCs/>
          <w:sz w:val="20"/>
          <w:szCs w:val="20"/>
        </w:rPr>
        <w:t xml:space="preserve"> 5 purchase locations </w:t>
      </w:r>
      <w:r>
        <w:rPr>
          <w:rFonts w:ascii="Arial" w:hAnsi="Arial" w:cs="Arial"/>
          <w:b/>
          <w:bCs/>
          <w:sz w:val="20"/>
          <w:szCs w:val="20"/>
        </w:rPr>
        <w:t>restricted under HFSS</w:t>
      </w:r>
    </w:p>
    <w:p w14:paraId="0BBFBA7F" w14:textId="4FC9D09C" w:rsidR="00B71D91" w:rsidRDefault="00A9540F" w:rsidP="00B71D91">
      <w:pPr>
        <w:rPr>
          <w:rFonts w:ascii="Arial" w:hAnsi="Arial" w:cs="Arial"/>
          <w:sz w:val="20"/>
          <w:szCs w:val="20"/>
        </w:rPr>
      </w:pPr>
      <w:r>
        <w:rPr>
          <w:rFonts w:ascii="Arial" w:hAnsi="Arial" w:cs="Arial"/>
          <w:sz w:val="20"/>
          <w:szCs w:val="20"/>
        </w:rPr>
        <w:t>19% of convenience store purchases are picked up in areas that will face restrictions under new HFSS legislation:</w:t>
      </w:r>
    </w:p>
    <w:tbl>
      <w:tblPr>
        <w:tblStyle w:val="TableGrid"/>
        <w:tblW w:w="0" w:type="auto"/>
        <w:tblLook w:val="04A0" w:firstRow="1" w:lastRow="0" w:firstColumn="1" w:lastColumn="0" w:noHBand="0" w:noVBand="1"/>
      </w:tblPr>
      <w:tblGrid>
        <w:gridCol w:w="2972"/>
        <w:gridCol w:w="3827"/>
      </w:tblGrid>
      <w:tr w:rsidR="00A9540F" w14:paraId="1D094060" w14:textId="77777777" w:rsidTr="00A9540F">
        <w:tc>
          <w:tcPr>
            <w:tcW w:w="2972" w:type="dxa"/>
            <w:shd w:val="clear" w:color="auto" w:fill="44546A" w:themeFill="text2"/>
          </w:tcPr>
          <w:p w14:paraId="1A393329" w14:textId="5B61EE97" w:rsidR="00A9540F" w:rsidRPr="00A9540F" w:rsidRDefault="00A9540F" w:rsidP="00B71D91">
            <w:pPr>
              <w:rPr>
                <w:rFonts w:ascii="Arial" w:hAnsi="Arial" w:cs="Arial"/>
                <w:b/>
                <w:bCs/>
                <w:color w:val="FFFFFF" w:themeColor="background1"/>
                <w:sz w:val="20"/>
                <w:szCs w:val="20"/>
              </w:rPr>
            </w:pPr>
            <w:r w:rsidRPr="00A9540F">
              <w:rPr>
                <w:rFonts w:ascii="Arial" w:hAnsi="Arial" w:cs="Arial"/>
                <w:b/>
                <w:bCs/>
                <w:color w:val="FFFFFF" w:themeColor="background1"/>
                <w:sz w:val="20"/>
                <w:szCs w:val="20"/>
              </w:rPr>
              <w:t>Location</w:t>
            </w:r>
          </w:p>
        </w:tc>
        <w:tc>
          <w:tcPr>
            <w:tcW w:w="3827" w:type="dxa"/>
            <w:shd w:val="clear" w:color="auto" w:fill="44546A" w:themeFill="text2"/>
          </w:tcPr>
          <w:p w14:paraId="1F6C691D" w14:textId="2CEA5D4A" w:rsidR="00A9540F" w:rsidRPr="00A9540F" w:rsidRDefault="00A9540F" w:rsidP="00B71D91">
            <w:pPr>
              <w:rPr>
                <w:rFonts w:ascii="Arial" w:hAnsi="Arial" w:cs="Arial"/>
                <w:b/>
                <w:bCs/>
                <w:color w:val="FFFFFF" w:themeColor="background1"/>
                <w:sz w:val="20"/>
                <w:szCs w:val="20"/>
              </w:rPr>
            </w:pPr>
            <w:r w:rsidRPr="00A9540F">
              <w:rPr>
                <w:rFonts w:ascii="Arial" w:hAnsi="Arial" w:cs="Arial"/>
                <w:b/>
                <w:bCs/>
                <w:color w:val="FFFFFF" w:themeColor="background1"/>
                <w:sz w:val="20"/>
                <w:szCs w:val="20"/>
              </w:rPr>
              <w:t>% who pick up product from location</w:t>
            </w:r>
          </w:p>
        </w:tc>
      </w:tr>
      <w:tr w:rsidR="00A9540F" w14:paraId="433AC23A" w14:textId="77777777" w:rsidTr="00A9540F">
        <w:tc>
          <w:tcPr>
            <w:tcW w:w="2972" w:type="dxa"/>
          </w:tcPr>
          <w:p w14:paraId="06F75741" w14:textId="12D5EE4D" w:rsidR="00A9540F" w:rsidRDefault="00A9540F" w:rsidP="00B71D91">
            <w:pPr>
              <w:rPr>
                <w:rFonts w:ascii="Arial" w:hAnsi="Arial" w:cs="Arial"/>
                <w:sz w:val="20"/>
                <w:szCs w:val="20"/>
              </w:rPr>
            </w:pPr>
            <w:r w:rsidRPr="00A9540F">
              <w:rPr>
                <w:rFonts w:ascii="Arial" w:hAnsi="Arial" w:cs="Arial"/>
                <w:sz w:val="20"/>
                <w:szCs w:val="20"/>
              </w:rPr>
              <w:t>Display on the end of an aisle</w:t>
            </w:r>
          </w:p>
        </w:tc>
        <w:tc>
          <w:tcPr>
            <w:tcW w:w="3827" w:type="dxa"/>
          </w:tcPr>
          <w:p w14:paraId="59DB0AD0" w14:textId="3C5BB2E9" w:rsidR="00A9540F" w:rsidRDefault="00A9540F" w:rsidP="00B71D91">
            <w:pPr>
              <w:rPr>
                <w:rFonts w:ascii="Arial" w:hAnsi="Arial" w:cs="Arial"/>
                <w:sz w:val="20"/>
                <w:szCs w:val="20"/>
              </w:rPr>
            </w:pPr>
            <w:r>
              <w:rPr>
                <w:rFonts w:ascii="Arial" w:hAnsi="Arial" w:cs="Arial"/>
                <w:sz w:val="20"/>
                <w:szCs w:val="20"/>
              </w:rPr>
              <w:t>7.9%</w:t>
            </w:r>
          </w:p>
        </w:tc>
      </w:tr>
      <w:tr w:rsidR="00A9540F" w14:paraId="63B82133" w14:textId="77777777" w:rsidTr="00A9540F">
        <w:tc>
          <w:tcPr>
            <w:tcW w:w="2972" w:type="dxa"/>
          </w:tcPr>
          <w:p w14:paraId="4039FDCB" w14:textId="443005BF" w:rsidR="00A9540F" w:rsidRDefault="00A9540F" w:rsidP="00B71D91">
            <w:pPr>
              <w:rPr>
                <w:rFonts w:ascii="Arial" w:hAnsi="Arial" w:cs="Arial"/>
                <w:sz w:val="20"/>
                <w:szCs w:val="20"/>
              </w:rPr>
            </w:pPr>
            <w:r w:rsidRPr="00A9540F">
              <w:rPr>
                <w:rFonts w:ascii="Arial" w:hAnsi="Arial" w:cs="Arial"/>
                <w:sz w:val="20"/>
                <w:szCs w:val="20"/>
              </w:rPr>
              <w:t>Display at the front of the store</w:t>
            </w:r>
          </w:p>
        </w:tc>
        <w:tc>
          <w:tcPr>
            <w:tcW w:w="3827" w:type="dxa"/>
          </w:tcPr>
          <w:p w14:paraId="0BCA1C9B" w14:textId="7B254E82" w:rsidR="00A9540F" w:rsidRDefault="00A9540F" w:rsidP="00B71D91">
            <w:pPr>
              <w:rPr>
                <w:rFonts w:ascii="Arial" w:hAnsi="Arial" w:cs="Arial"/>
                <w:sz w:val="20"/>
                <w:szCs w:val="20"/>
              </w:rPr>
            </w:pPr>
            <w:r>
              <w:rPr>
                <w:rFonts w:ascii="Arial" w:hAnsi="Arial" w:cs="Arial"/>
                <w:sz w:val="20"/>
                <w:szCs w:val="20"/>
              </w:rPr>
              <w:t>5.8%</w:t>
            </w:r>
          </w:p>
        </w:tc>
      </w:tr>
      <w:tr w:rsidR="00A9540F" w14:paraId="1018C89A" w14:textId="77777777" w:rsidTr="00A9540F">
        <w:tc>
          <w:tcPr>
            <w:tcW w:w="2972" w:type="dxa"/>
          </w:tcPr>
          <w:p w14:paraId="29DE98E4" w14:textId="73975366" w:rsidR="00A9540F" w:rsidRDefault="00A9540F" w:rsidP="00B71D91">
            <w:pPr>
              <w:rPr>
                <w:rFonts w:ascii="Arial" w:hAnsi="Arial" w:cs="Arial"/>
                <w:sz w:val="20"/>
                <w:szCs w:val="20"/>
              </w:rPr>
            </w:pPr>
            <w:r w:rsidRPr="00A9540F">
              <w:rPr>
                <w:rFonts w:ascii="Arial" w:hAnsi="Arial" w:cs="Arial"/>
                <w:sz w:val="20"/>
                <w:szCs w:val="20"/>
              </w:rPr>
              <w:t>Display at the till</w:t>
            </w:r>
          </w:p>
        </w:tc>
        <w:tc>
          <w:tcPr>
            <w:tcW w:w="3827" w:type="dxa"/>
          </w:tcPr>
          <w:p w14:paraId="5B9C23DD" w14:textId="40915E96" w:rsidR="00A9540F" w:rsidRDefault="00A9540F" w:rsidP="00B71D91">
            <w:pPr>
              <w:rPr>
                <w:rFonts w:ascii="Arial" w:hAnsi="Arial" w:cs="Arial"/>
                <w:sz w:val="20"/>
                <w:szCs w:val="20"/>
              </w:rPr>
            </w:pPr>
            <w:r>
              <w:rPr>
                <w:rFonts w:ascii="Arial" w:hAnsi="Arial" w:cs="Arial"/>
                <w:sz w:val="20"/>
                <w:szCs w:val="20"/>
              </w:rPr>
              <w:t>5.7%</w:t>
            </w:r>
          </w:p>
        </w:tc>
      </w:tr>
    </w:tbl>
    <w:p w14:paraId="0C54D06F" w14:textId="3B74BA27" w:rsidR="00A9540F" w:rsidRDefault="00A9540F" w:rsidP="00B71D91">
      <w:pPr>
        <w:rPr>
          <w:rFonts w:ascii="Arial" w:hAnsi="Arial" w:cs="Arial"/>
          <w:sz w:val="20"/>
          <w:szCs w:val="20"/>
        </w:rPr>
      </w:pPr>
    </w:p>
    <w:p w14:paraId="081633FA" w14:textId="5215534B" w:rsidR="00A9540F" w:rsidRPr="00B71D91" w:rsidRDefault="00A9540F" w:rsidP="00A9540F">
      <w:pPr>
        <w:rPr>
          <w:rFonts w:ascii="Arial" w:hAnsi="Arial" w:cs="Arial"/>
          <w:sz w:val="20"/>
          <w:szCs w:val="20"/>
        </w:rPr>
      </w:pPr>
      <w:r w:rsidRPr="00A9540F">
        <w:rPr>
          <w:rFonts w:ascii="Arial" w:hAnsi="Arial" w:cs="Arial"/>
          <w:sz w:val="20"/>
          <w:szCs w:val="20"/>
        </w:rPr>
        <w:t>Younger shoppers are more likely to pick up purchases in HFSS restricted areas, notably 18</w:t>
      </w:r>
      <w:r>
        <w:rPr>
          <w:rFonts w:ascii="Arial" w:hAnsi="Arial" w:cs="Arial"/>
          <w:sz w:val="20"/>
          <w:szCs w:val="20"/>
        </w:rPr>
        <w:t>-</w:t>
      </w:r>
      <w:r w:rsidRPr="00A9540F">
        <w:rPr>
          <w:rFonts w:ascii="Arial" w:hAnsi="Arial" w:cs="Arial"/>
          <w:sz w:val="20"/>
          <w:szCs w:val="20"/>
        </w:rPr>
        <w:t>24s are +50% more likely to pick up</w:t>
      </w:r>
      <w:r>
        <w:rPr>
          <w:rFonts w:ascii="Arial" w:hAnsi="Arial" w:cs="Arial"/>
          <w:sz w:val="20"/>
          <w:szCs w:val="20"/>
        </w:rPr>
        <w:t xml:space="preserve"> </w:t>
      </w:r>
      <w:r w:rsidRPr="00A9540F">
        <w:rPr>
          <w:rFonts w:ascii="Arial" w:hAnsi="Arial" w:cs="Arial"/>
          <w:sz w:val="20"/>
          <w:szCs w:val="20"/>
        </w:rPr>
        <w:t>purchases a</w:t>
      </w:r>
      <w:r>
        <w:rPr>
          <w:rFonts w:ascii="Arial" w:hAnsi="Arial" w:cs="Arial"/>
          <w:sz w:val="20"/>
          <w:szCs w:val="20"/>
        </w:rPr>
        <w:t>t</w:t>
      </w:r>
      <w:r w:rsidRPr="00A9540F">
        <w:rPr>
          <w:rFonts w:ascii="Arial" w:hAnsi="Arial" w:cs="Arial"/>
          <w:sz w:val="20"/>
          <w:szCs w:val="20"/>
        </w:rPr>
        <w:t xml:space="preserve"> the front of store</w:t>
      </w:r>
      <w:r>
        <w:rPr>
          <w:rFonts w:ascii="Arial" w:hAnsi="Arial" w:cs="Arial"/>
          <w:sz w:val="20"/>
          <w:szCs w:val="20"/>
        </w:rPr>
        <w:t xml:space="preserve"> and 25-34s are +45% more likely to pick up a purchase from a till display</w:t>
      </w:r>
      <w:r w:rsidRPr="00A9540F">
        <w:rPr>
          <w:rFonts w:ascii="Arial" w:hAnsi="Arial" w:cs="Arial"/>
          <w:sz w:val="20"/>
          <w:szCs w:val="20"/>
        </w:rPr>
        <w:t xml:space="preserve">. </w:t>
      </w:r>
    </w:p>
    <w:p w14:paraId="132E75BB" w14:textId="38D22F28" w:rsidR="00164610" w:rsidRPr="00476F33" w:rsidRDefault="00E64F14" w:rsidP="00372E29">
      <w:pPr>
        <w:rPr>
          <w:rFonts w:ascii="Arial" w:hAnsi="Arial" w:cs="Arial"/>
          <w:b/>
          <w:bCs/>
          <w:sz w:val="20"/>
          <w:szCs w:val="20"/>
        </w:rPr>
      </w:pPr>
      <w:r>
        <w:rPr>
          <w:rFonts w:ascii="Arial" w:hAnsi="Arial" w:cs="Arial"/>
          <w:b/>
          <w:bCs/>
          <w:sz w:val="20"/>
          <w:szCs w:val="20"/>
        </w:rPr>
        <w:t>Six</w:t>
      </w:r>
      <w:r w:rsidR="005A27EC">
        <w:rPr>
          <w:rFonts w:ascii="Arial" w:hAnsi="Arial" w:cs="Arial"/>
          <w:b/>
          <w:bCs/>
          <w:sz w:val="20"/>
          <w:szCs w:val="20"/>
        </w:rPr>
        <w:t xml:space="preserve"> of the top </w:t>
      </w:r>
      <w:r>
        <w:rPr>
          <w:rFonts w:ascii="Arial" w:hAnsi="Arial" w:cs="Arial"/>
          <w:b/>
          <w:bCs/>
          <w:sz w:val="20"/>
          <w:szCs w:val="20"/>
        </w:rPr>
        <w:t>eight</w:t>
      </w:r>
      <w:r w:rsidR="005A27EC">
        <w:rPr>
          <w:rFonts w:ascii="Arial" w:hAnsi="Arial" w:cs="Arial"/>
          <w:b/>
          <w:bCs/>
          <w:sz w:val="20"/>
          <w:szCs w:val="20"/>
        </w:rPr>
        <w:t xml:space="preserve"> categories purchased on impulse impacted by HFSS</w:t>
      </w:r>
    </w:p>
    <w:p w14:paraId="23F71D3B" w14:textId="41A2D796" w:rsidR="00164610" w:rsidRDefault="005A27EC" w:rsidP="00372E29">
      <w:pPr>
        <w:rPr>
          <w:rFonts w:ascii="Arial" w:hAnsi="Arial" w:cs="Arial"/>
          <w:sz w:val="20"/>
          <w:szCs w:val="20"/>
        </w:rPr>
      </w:pPr>
      <w:r>
        <w:rPr>
          <w:rFonts w:ascii="Arial" w:hAnsi="Arial" w:cs="Arial"/>
          <w:sz w:val="20"/>
          <w:szCs w:val="20"/>
        </w:rPr>
        <w:t>In total, 54.5% of convenience store shoppers purchase on impulse. Of the top ten categories that shoppers purchase on impulse within convenience, seven of them are likely to be impacted by the new HFSS regulations:</w:t>
      </w:r>
    </w:p>
    <w:tbl>
      <w:tblPr>
        <w:tblStyle w:val="TableGrid"/>
        <w:tblW w:w="0" w:type="auto"/>
        <w:tblLook w:val="04A0" w:firstRow="1" w:lastRow="0" w:firstColumn="1" w:lastColumn="0" w:noHBand="0" w:noVBand="1"/>
      </w:tblPr>
      <w:tblGrid>
        <w:gridCol w:w="2263"/>
        <w:gridCol w:w="4111"/>
      </w:tblGrid>
      <w:tr w:rsidR="005A27EC" w14:paraId="2E90C1B2" w14:textId="77777777" w:rsidTr="00885322">
        <w:tc>
          <w:tcPr>
            <w:tcW w:w="2263" w:type="dxa"/>
            <w:shd w:val="clear" w:color="auto" w:fill="44546A" w:themeFill="text2"/>
          </w:tcPr>
          <w:p w14:paraId="0DCF94C1" w14:textId="0932E78E" w:rsidR="005A27EC" w:rsidRPr="005A27EC" w:rsidRDefault="005A27EC" w:rsidP="00372E29">
            <w:pPr>
              <w:rPr>
                <w:rFonts w:ascii="Arial" w:hAnsi="Arial" w:cs="Arial"/>
                <w:b/>
                <w:bCs/>
                <w:color w:val="FFFFFF" w:themeColor="background1"/>
                <w:sz w:val="20"/>
                <w:szCs w:val="20"/>
              </w:rPr>
            </w:pPr>
            <w:r w:rsidRPr="005A27EC">
              <w:rPr>
                <w:rFonts w:ascii="Arial" w:hAnsi="Arial" w:cs="Arial"/>
                <w:b/>
                <w:bCs/>
                <w:color w:val="FFFFFF" w:themeColor="background1"/>
                <w:sz w:val="20"/>
                <w:szCs w:val="20"/>
              </w:rPr>
              <w:t>Category</w:t>
            </w:r>
          </w:p>
        </w:tc>
        <w:tc>
          <w:tcPr>
            <w:tcW w:w="4111" w:type="dxa"/>
            <w:shd w:val="clear" w:color="auto" w:fill="44546A" w:themeFill="text2"/>
          </w:tcPr>
          <w:p w14:paraId="6F8A7AAA" w14:textId="590D00FF" w:rsidR="005A27EC" w:rsidRPr="005A27EC" w:rsidRDefault="005A27EC" w:rsidP="00372E29">
            <w:pPr>
              <w:rPr>
                <w:rFonts w:ascii="Arial" w:hAnsi="Arial" w:cs="Arial"/>
                <w:b/>
                <w:bCs/>
                <w:color w:val="FFFFFF" w:themeColor="background1"/>
                <w:sz w:val="20"/>
                <w:szCs w:val="20"/>
              </w:rPr>
            </w:pPr>
            <w:r w:rsidRPr="005A27EC">
              <w:rPr>
                <w:rFonts w:ascii="Arial" w:hAnsi="Arial" w:cs="Arial"/>
                <w:b/>
                <w:bCs/>
                <w:color w:val="FFFFFF" w:themeColor="background1"/>
                <w:sz w:val="20"/>
                <w:szCs w:val="20"/>
              </w:rPr>
              <w:t>% who bought this category on impulse</w:t>
            </w:r>
          </w:p>
        </w:tc>
      </w:tr>
      <w:tr w:rsidR="005A27EC" w14:paraId="1AD14F69" w14:textId="77777777" w:rsidTr="00885322">
        <w:tc>
          <w:tcPr>
            <w:tcW w:w="2263" w:type="dxa"/>
          </w:tcPr>
          <w:p w14:paraId="02639FE9" w14:textId="3862E0C6" w:rsidR="005A27EC" w:rsidRDefault="005A27EC" w:rsidP="00372E29">
            <w:pPr>
              <w:rPr>
                <w:rFonts w:ascii="Arial" w:hAnsi="Arial" w:cs="Arial"/>
                <w:sz w:val="20"/>
                <w:szCs w:val="20"/>
              </w:rPr>
            </w:pPr>
            <w:r>
              <w:rPr>
                <w:rFonts w:ascii="Arial" w:hAnsi="Arial" w:cs="Arial"/>
                <w:sz w:val="20"/>
                <w:szCs w:val="20"/>
              </w:rPr>
              <w:t>Bakery</w:t>
            </w:r>
          </w:p>
        </w:tc>
        <w:tc>
          <w:tcPr>
            <w:tcW w:w="4111" w:type="dxa"/>
          </w:tcPr>
          <w:p w14:paraId="42FA63BE" w14:textId="4A6EE8FD" w:rsidR="005A27EC" w:rsidRDefault="005A27EC" w:rsidP="00372E29">
            <w:pPr>
              <w:rPr>
                <w:rFonts w:ascii="Arial" w:hAnsi="Arial" w:cs="Arial"/>
                <w:sz w:val="20"/>
                <w:szCs w:val="20"/>
              </w:rPr>
            </w:pPr>
            <w:r>
              <w:rPr>
                <w:rFonts w:ascii="Arial" w:hAnsi="Arial" w:cs="Arial"/>
                <w:sz w:val="20"/>
                <w:szCs w:val="20"/>
              </w:rPr>
              <w:t>11%</w:t>
            </w:r>
          </w:p>
        </w:tc>
      </w:tr>
      <w:tr w:rsidR="005A27EC" w14:paraId="4D9F8081" w14:textId="77777777" w:rsidTr="00885322">
        <w:tc>
          <w:tcPr>
            <w:tcW w:w="2263" w:type="dxa"/>
          </w:tcPr>
          <w:p w14:paraId="6AE04263" w14:textId="09FEE91F" w:rsidR="005A27EC" w:rsidRDefault="005A27EC" w:rsidP="00372E29">
            <w:pPr>
              <w:rPr>
                <w:rFonts w:ascii="Arial" w:hAnsi="Arial" w:cs="Arial"/>
                <w:sz w:val="20"/>
                <w:szCs w:val="20"/>
              </w:rPr>
            </w:pPr>
            <w:r>
              <w:rPr>
                <w:rFonts w:ascii="Arial" w:hAnsi="Arial" w:cs="Arial"/>
                <w:sz w:val="20"/>
                <w:szCs w:val="20"/>
              </w:rPr>
              <w:t>Bakery (wrapped)</w:t>
            </w:r>
          </w:p>
        </w:tc>
        <w:tc>
          <w:tcPr>
            <w:tcW w:w="4111" w:type="dxa"/>
          </w:tcPr>
          <w:p w14:paraId="385FC89A" w14:textId="579EA4CC" w:rsidR="005A27EC" w:rsidRDefault="005A27EC" w:rsidP="00372E29">
            <w:pPr>
              <w:rPr>
                <w:rFonts w:ascii="Arial" w:hAnsi="Arial" w:cs="Arial"/>
                <w:sz w:val="20"/>
                <w:szCs w:val="20"/>
              </w:rPr>
            </w:pPr>
            <w:r>
              <w:rPr>
                <w:rFonts w:ascii="Arial" w:hAnsi="Arial" w:cs="Arial"/>
                <w:sz w:val="20"/>
                <w:szCs w:val="20"/>
              </w:rPr>
              <w:t>10%</w:t>
            </w:r>
          </w:p>
        </w:tc>
      </w:tr>
      <w:tr w:rsidR="005A27EC" w14:paraId="3F523704" w14:textId="77777777" w:rsidTr="00885322">
        <w:tc>
          <w:tcPr>
            <w:tcW w:w="2263" w:type="dxa"/>
          </w:tcPr>
          <w:p w14:paraId="7B11B66B" w14:textId="4CC0B5A2" w:rsidR="005A27EC" w:rsidRDefault="005A27EC" w:rsidP="00372E29">
            <w:pPr>
              <w:rPr>
                <w:rFonts w:ascii="Arial" w:hAnsi="Arial" w:cs="Arial"/>
                <w:sz w:val="20"/>
                <w:szCs w:val="20"/>
              </w:rPr>
            </w:pPr>
            <w:r>
              <w:rPr>
                <w:rFonts w:ascii="Arial" w:hAnsi="Arial" w:cs="Arial"/>
                <w:sz w:val="20"/>
                <w:szCs w:val="20"/>
              </w:rPr>
              <w:t>Crisps &amp; Snacks</w:t>
            </w:r>
          </w:p>
        </w:tc>
        <w:tc>
          <w:tcPr>
            <w:tcW w:w="4111" w:type="dxa"/>
          </w:tcPr>
          <w:p w14:paraId="719013BD" w14:textId="3333D6AC" w:rsidR="005A27EC" w:rsidRDefault="005A27EC" w:rsidP="00372E29">
            <w:pPr>
              <w:rPr>
                <w:rFonts w:ascii="Arial" w:hAnsi="Arial" w:cs="Arial"/>
                <w:sz w:val="20"/>
                <w:szCs w:val="20"/>
              </w:rPr>
            </w:pPr>
            <w:r>
              <w:rPr>
                <w:rFonts w:ascii="Arial" w:hAnsi="Arial" w:cs="Arial"/>
                <w:sz w:val="20"/>
                <w:szCs w:val="20"/>
              </w:rPr>
              <w:t>8%</w:t>
            </w:r>
          </w:p>
        </w:tc>
      </w:tr>
      <w:tr w:rsidR="005A27EC" w14:paraId="4E16871A" w14:textId="77777777" w:rsidTr="00885322">
        <w:tc>
          <w:tcPr>
            <w:tcW w:w="2263" w:type="dxa"/>
          </w:tcPr>
          <w:p w14:paraId="501569F2" w14:textId="37B803DD" w:rsidR="005A27EC" w:rsidRDefault="005A27EC" w:rsidP="00372E29">
            <w:pPr>
              <w:rPr>
                <w:rFonts w:ascii="Arial" w:hAnsi="Arial" w:cs="Arial"/>
                <w:sz w:val="20"/>
                <w:szCs w:val="20"/>
              </w:rPr>
            </w:pPr>
            <w:r>
              <w:rPr>
                <w:rFonts w:ascii="Arial" w:hAnsi="Arial" w:cs="Arial"/>
                <w:sz w:val="20"/>
                <w:szCs w:val="20"/>
              </w:rPr>
              <w:t>Soft Drinks</w:t>
            </w:r>
          </w:p>
        </w:tc>
        <w:tc>
          <w:tcPr>
            <w:tcW w:w="4111" w:type="dxa"/>
          </w:tcPr>
          <w:p w14:paraId="608E4C6B" w14:textId="573EE010" w:rsidR="005A27EC" w:rsidRDefault="005A27EC" w:rsidP="00372E29">
            <w:pPr>
              <w:rPr>
                <w:rFonts w:ascii="Arial" w:hAnsi="Arial" w:cs="Arial"/>
                <w:sz w:val="20"/>
                <w:szCs w:val="20"/>
              </w:rPr>
            </w:pPr>
            <w:r>
              <w:rPr>
                <w:rFonts w:ascii="Arial" w:hAnsi="Arial" w:cs="Arial"/>
                <w:sz w:val="20"/>
                <w:szCs w:val="20"/>
              </w:rPr>
              <w:t>8%</w:t>
            </w:r>
          </w:p>
        </w:tc>
      </w:tr>
      <w:tr w:rsidR="005A27EC" w14:paraId="489B5951" w14:textId="77777777" w:rsidTr="00885322">
        <w:tc>
          <w:tcPr>
            <w:tcW w:w="2263" w:type="dxa"/>
          </w:tcPr>
          <w:p w14:paraId="15CB349D" w14:textId="40FBEDCA" w:rsidR="005A27EC" w:rsidRDefault="005A27EC" w:rsidP="00372E29">
            <w:pPr>
              <w:rPr>
                <w:rFonts w:ascii="Arial" w:hAnsi="Arial" w:cs="Arial"/>
                <w:sz w:val="20"/>
                <w:szCs w:val="20"/>
              </w:rPr>
            </w:pPr>
            <w:r>
              <w:rPr>
                <w:rFonts w:ascii="Arial" w:hAnsi="Arial" w:cs="Arial"/>
                <w:sz w:val="20"/>
                <w:szCs w:val="20"/>
              </w:rPr>
              <w:t>Confectionery</w:t>
            </w:r>
          </w:p>
        </w:tc>
        <w:tc>
          <w:tcPr>
            <w:tcW w:w="4111" w:type="dxa"/>
          </w:tcPr>
          <w:p w14:paraId="2FAE3105" w14:textId="2D2CEA3B" w:rsidR="005A27EC" w:rsidRDefault="005A27EC" w:rsidP="00372E29">
            <w:pPr>
              <w:rPr>
                <w:rFonts w:ascii="Arial" w:hAnsi="Arial" w:cs="Arial"/>
                <w:sz w:val="20"/>
                <w:szCs w:val="20"/>
              </w:rPr>
            </w:pPr>
            <w:r>
              <w:rPr>
                <w:rFonts w:ascii="Arial" w:hAnsi="Arial" w:cs="Arial"/>
                <w:sz w:val="20"/>
                <w:szCs w:val="20"/>
              </w:rPr>
              <w:t>6%</w:t>
            </w:r>
          </w:p>
        </w:tc>
      </w:tr>
      <w:tr w:rsidR="005A27EC" w14:paraId="5AD1B8CA" w14:textId="77777777" w:rsidTr="00885322">
        <w:tc>
          <w:tcPr>
            <w:tcW w:w="2263" w:type="dxa"/>
          </w:tcPr>
          <w:p w14:paraId="0ABE63BA" w14:textId="4A3B6AC6" w:rsidR="005A27EC" w:rsidRDefault="005A27EC" w:rsidP="00372E29">
            <w:pPr>
              <w:rPr>
                <w:rFonts w:ascii="Arial" w:hAnsi="Arial" w:cs="Arial"/>
                <w:sz w:val="20"/>
                <w:szCs w:val="20"/>
              </w:rPr>
            </w:pPr>
            <w:r>
              <w:rPr>
                <w:rFonts w:ascii="Arial" w:hAnsi="Arial" w:cs="Arial"/>
                <w:sz w:val="20"/>
                <w:szCs w:val="20"/>
              </w:rPr>
              <w:t>Carbonated soft drinks</w:t>
            </w:r>
          </w:p>
        </w:tc>
        <w:tc>
          <w:tcPr>
            <w:tcW w:w="4111" w:type="dxa"/>
          </w:tcPr>
          <w:p w14:paraId="45048E3E" w14:textId="61EB0E99" w:rsidR="005A27EC" w:rsidRDefault="005A27EC" w:rsidP="00372E29">
            <w:pPr>
              <w:rPr>
                <w:rFonts w:ascii="Arial" w:hAnsi="Arial" w:cs="Arial"/>
                <w:sz w:val="20"/>
                <w:szCs w:val="20"/>
              </w:rPr>
            </w:pPr>
            <w:r>
              <w:rPr>
                <w:rFonts w:ascii="Arial" w:hAnsi="Arial" w:cs="Arial"/>
                <w:sz w:val="20"/>
                <w:szCs w:val="20"/>
              </w:rPr>
              <w:t>5%</w:t>
            </w:r>
          </w:p>
        </w:tc>
      </w:tr>
    </w:tbl>
    <w:p w14:paraId="1F35715B" w14:textId="77777777" w:rsidR="005A27EC" w:rsidRDefault="005A27EC" w:rsidP="00372E29">
      <w:pPr>
        <w:rPr>
          <w:rFonts w:ascii="Arial" w:hAnsi="Arial" w:cs="Arial"/>
          <w:sz w:val="20"/>
          <w:szCs w:val="20"/>
        </w:rPr>
      </w:pPr>
    </w:p>
    <w:p w14:paraId="764973AA" w14:textId="4E569CF2" w:rsidR="00164610" w:rsidRDefault="005A27EC" w:rsidP="00372E29">
      <w:pPr>
        <w:rPr>
          <w:rFonts w:ascii="Arial" w:hAnsi="Arial" w:cs="Arial"/>
          <w:sz w:val="20"/>
          <w:szCs w:val="20"/>
        </w:rPr>
      </w:pPr>
      <w:r>
        <w:rPr>
          <w:rFonts w:ascii="Arial" w:hAnsi="Arial" w:cs="Arial"/>
          <w:sz w:val="20"/>
          <w:szCs w:val="20"/>
        </w:rPr>
        <w:t xml:space="preserve">The top two reasons for purchasing on impulse are </w:t>
      </w:r>
      <w:r w:rsidRPr="005A27EC">
        <w:rPr>
          <w:rFonts w:ascii="Arial" w:hAnsi="Arial" w:cs="Arial"/>
          <w:i/>
          <w:iCs/>
          <w:sz w:val="20"/>
          <w:szCs w:val="20"/>
        </w:rPr>
        <w:t>I saw it and I was tempted</w:t>
      </w:r>
      <w:r>
        <w:rPr>
          <w:rFonts w:ascii="Arial" w:hAnsi="Arial" w:cs="Arial"/>
          <w:sz w:val="20"/>
          <w:szCs w:val="20"/>
        </w:rPr>
        <w:t xml:space="preserve"> (33%) and </w:t>
      </w:r>
      <w:r w:rsidRPr="005A27EC">
        <w:rPr>
          <w:rFonts w:ascii="Arial" w:hAnsi="Arial" w:cs="Arial"/>
          <w:i/>
          <w:iCs/>
          <w:sz w:val="20"/>
          <w:szCs w:val="20"/>
        </w:rPr>
        <w:t>It was on promotion/special offer</w:t>
      </w:r>
      <w:r>
        <w:rPr>
          <w:rFonts w:ascii="Arial" w:hAnsi="Arial" w:cs="Arial"/>
          <w:sz w:val="20"/>
          <w:szCs w:val="20"/>
        </w:rPr>
        <w:t xml:space="preserve"> (17%). </w:t>
      </w:r>
      <w:r w:rsidR="0058740A">
        <w:rPr>
          <w:rFonts w:ascii="Arial" w:hAnsi="Arial" w:cs="Arial"/>
          <w:sz w:val="20"/>
          <w:szCs w:val="20"/>
        </w:rPr>
        <w:t xml:space="preserve">With restrictions set to be placed on promoting these products and displaying them in locations known for high visibility, there is a risk </w:t>
      </w:r>
      <w:r w:rsidR="00053FF2">
        <w:rPr>
          <w:rFonts w:ascii="Arial" w:hAnsi="Arial" w:cs="Arial"/>
          <w:sz w:val="20"/>
          <w:szCs w:val="20"/>
        </w:rPr>
        <w:t>to the sales of these categories for stores that are impacted by the legislation.</w:t>
      </w:r>
    </w:p>
    <w:p w14:paraId="6BCFC4A8" w14:textId="5C188DA3" w:rsidR="00053FF2" w:rsidRPr="00053FF2" w:rsidRDefault="00053FF2" w:rsidP="00372E29">
      <w:pPr>
        <w:rPr>
          <w:rFonts w:ascii="Arial" w:hAnsi="Arial" w:cs="Arial"/>
          <w:b/>
          <w:bCs/>
          <w:sz w:val="20"/>
          <w:szCs w:val="20"/>
        </w:rPr>
      </w:pPr>
      <w:r w:rsidRPr="00053FF2">
        <w:rPr>
          <w:rFonts w:ascii="Arial" w:hAnsi="Arial" w:cs="Arial"/>
          <w:b/>
          <w:bCs/>
          <w:sz w:val="20"/>
          <w:szCs w:val="20"/>
        </w:rPr>
        <w:t>Over four in ten shoppers purchase on promotion</w:t>
      </w:r>
    </w:p>
    <w:p w14:paraId="14A58FD7" w14:textId="589F4F63" w:rsidR="00164610" w:rsidRDefault="00053FF2" w:rsidP="00372E29">
      <w:pPr>
        <w:rPr>
          <w:rFonts w:ascii="Arial" w:hAnsi="Arial" w:cs="Arial"/>
          <w:sz w:val="20"/>
          <w:szCs w:val="20"/>
        </w:rPr>
      </w:pPr>
      <w:r>
        <w:rPr>
          <w:rFonts w:ascii="Arial" w:hAnsi="Arial" w:cs="Arial"/>
          <w:sz w:val="20"/>
          <w:szCs w:val="20"/>
        </w:rPr>
        <w:t>44% of convenience store shoppers purchase on promotion, with the four categories most commonly purchased on promotions set to be impacted by the HFSS regulation:</w:t>
      </w:r>
    </w:p>
    <w:tbl>
      <w:tblPr>
        <w:tblStyle w:val="TableGrid"/>
        <w:tblW w:w="0" w:type="auto"/>
        <w:tblLook w:val="04A0" w:firstRow="1" w:lastRow="0" w:firstColumn="1" w:lastColumn="0" w:noHBand="0" w:noVBand="1"/>
      </w:tblPr>
      <w:tblGrid>
        <w:gridCol w:w="1838"/>
        <w:gridCol w:w="2977"/>
      </w:tblGrid>
      <w:tr w:rsidR="004F0055" w14:paraId="010A6003" w14:textId="77777777" w:rsidTr="004F0055">
        <w:tc>
          <w:tcPr>
            <w:tcW w:w="1838" w:type="dxa"/>
            <w:shd w:val="clear" w:color="auto" w:fill="44546A" w:themeFill="text2"/>
          </w:tcPr>
          <w:p w14:paraId="092487ED" w14:textId="0F8567A6" w:rsidR="004F0055" w:rsidRPr="004F0055" w:rsidRDefault="004F0055" w:rsidP="00372E29">
            <w:pPr>
              <w:rPr>
                <w:rFonts w:ascii="Arial" w:hAnsi="Arial" w:cs="Arial"/>
                <w:b/>
                <w:bCs/>
                <w:color w:val="FFFFFF" w:themeColor="background1"/>
                <w:sz w:val="20"/>
                <w:szCs w:val="20"/>
              </w:rPr>
            </w:pPr>
            <w:r w:rsidRPr="004F0055">
              <w:rPr>
                <w:rFonts w:ascii="Arial" w:hAnsi="Arial" w:cs="Arial"/>
                <w:b/>
                <w:bCs/>
                <w:color w:val="FFFFFF" w:themeColor="background1"/>
                <w:sz w:val="20"/>
                <w:szCs w:val="20"/>
              </w:rPr>
              <w:t>Category</w:t>
            </w:r>
          </w:p>
        </w:tc>
        <w:tc>
          <w:tcPr>
            <w:tcW w:w="2977" w:type="dxa"/>
            <w:shd w:val="clear" w:color="auto" w:fill="44546A" w:themeFill="text2"/>
          </w:tcPr>
          <w:p w14:paraId="597F3B14" w14:textId="19C18C2E" w:rsidR="004F0055" w:rsidRPr="004F0055" w:rsidRDefault="004F0055" w:rsidP="00372E29">
            <w:pPr>
              <w:rPr>
                <w:rFonts w:ascii="Arial" w:hAnsi="Arial" w:cs="Arial"/>
                <w:b/>
                <w:bCs/>
                <w:color w:val="FFFFFF" w:themeColor="background1"/>
                <w:sz w:val="20"/>
                <w:szCs w:val="20"/>
              </w:rPr>
            </w:pPr>
            <w:r w:rsidRPr="004F0055">
              <w:rPr>
                <w:rFonts w:ascii="Arial" w:hAnsi="Arial" w:cs="Arial"/>
                <w:b/>
                <w:bCs/>
                <w:color w:val="FFFFFF" w:themeColor="background1"/>
                <w:sz w:val="20"/>
                <w:szCs w:val="20"/>
              </w:rPr>
              <w:t>% who bought on promotion</w:t>
            </w:r>
          </w:p>
        </w:tc>
      </w:tr>
      <w:tr w:rsidR="004F0055" w14:paraId="320EB84F" w14:textId="77777777" w:rsidTr="004F0055">
        <w:tc>
          <w:tcPr>
            <w:tcW w:w="1838" w:type="dxa"/>
          </w:tcPr>
          <w:p w14:paraId="0611FC3B" w14:textId="7D791156" w:rsidR="004F0055" w:rsidRDefault="004F0055" w:rsidP="00372E29">
            <w:pPr>
              <w:rPr>
                <w:rFonts w:ascii="Arial" w:hAnsi="Arial" w:cs="Arial"/>
                <w:sz w:val="20"/>
                <w:szCs w:val="20"/>
              </w:rPr>
            </w:pPr>
            <w:r>
              <w:rPr>
                <w:rFonts w:ascii="Arial" w:hAnsi="Arial" w:cs="Arial"/>
                <w:sz w:val="20"/>
                <w:szCs w:val="20"/>
              </w:rPr>
              <w:t>Bakery</w:t>
            </w:r>
          </w:p>
        </w:tc>
        <w:tc>
          <w:tcPr>
            <w:tcW w:w="2977" w:type="dxa"/>
          </w:tcPr>
          <w:p w14:paraId="7B060C31" w14:textId="0E7A3258" w:rsidR="004F0055" w:rsidRDefault="004F0055" w:rsidP="00372E29">
            <w:pPr>
              <w:rPr>
                <w:rFonts w:ascii="Arial" w:hAnsi="Arial" w:cs="Arial"/>
                <w:sz w:val="20"/>
                <w:szCs w:val="20"/>
              </w:rPr>
            </w:pPr>
            <w:r>
              <w:rPr>
                <w:rFonts w:ascii="Arial" w:hAnsi="Arial" w:cs="Arial"/>
                <w:sz w:val="20"/>
                <w:szCs w:val="20"/>
              </w:rPr>
              <w:t>7.3%</w:t>
            </w:r>
          </w:p>
        </w:tc>
      </w:tr>
      <w:tr w:rsidR="004F0055" w14:paraId="5C16313F" w14:textId="77777777" w:rsidTr="004F0055">
        <w:tc>
          <w:tcPr>
            <w:tcW w:w="1838" w:type="dxa"/>
          </w:tcPr>
          <w:p w14:paraId="79C176B4" w14:textId="0886FBEF" w:rsidR="004F0055" w:rsidRDefault="004F0055" w:rsidP="00372E29">
            <w:pPr>
              <w:rPr>
                <w:rFonts w:ascii="Arial" w:hAnsi="Arial" w:cs="Arial"/>
                <w:sz w:val="20"/>
                <w:szCs w:val="20"/>
              </w:rPr>
            </w:pPr>
            <w:r>
              <w:rPr>
                <w:rFonts w:ascii="Arial" w:hAnsi="Arial" w:cs="Arial"/>
                <w:sz w:val="20"/>
                <w:szCs w:val="20"/>
              </w:rPr>
              <w:t>Crisps &amp; Snacks</w:t>
            </w:r>
          </w:p>
        </w:tc>
        <w:tc>
          <w:tcPr>
            <w:tcW w:w="2977" w:type="dxa"/>
          </w:tcPr>
          <w:p w14:paraId="0DF3C696" w14:textId="20CAF1DA" w:rsidR="004F0055" w:rsidRDefault="004F0055" w:rsidP="00372E29">
            <w:pPr>
              <w:rPr>
                <w:rFonts w:ascii="Arial" w:hAnsi="Arial" w:cs="Arial"/>
                <w:sz w:val="20"/>
                <w:szCs w:val="20"/>
              </w:rPr>
            </w:pPr>
            <w:r>
              <w:rPr>
                <w:rFonts w:ascii="Arial" w:hAnsi="Arial" w:cs="Arial"/>
                <w:sz w:val="20"/>
                <w:szCs w:val="20"/>
              </w:rPr>
              <w:t>7.2%</w:t>
            </w:r>
          </w:p>
        </w:tc>
      </w:tr>
      <w:tr w:rsidR="004F0055" w14:paraId="3E868108" w14:textId="77777777" w:rsidTr="004F0055">
        <w:tc>
          <w:tcPr>
            <w:tcW w:w="1838" w:type="dxa"/>
          </w:tcPr>
          <w:p w14:paraId="5A6C2609" w14:textId="18B17077" w:rsidR="004F0055" w:rsidRDefault="004F0055" w:rsidP="00372E29">
            <w:pPr>
              <w:rPr>
                <w:rFonts w:ascii="Arial" w:hAnsi="Arial" w:cs="Arial"/>
                <w:sz w:val="20"/>
                <w:szCs w:val="20"/>
              </w:rPr>
            </w:pPr>
            <w:r>
              <w:rPr>
                <w:rFonts w:ascii="Arial" w:hAnsi="Arial" w:cs="Arial"/>
                <w:sz w:val="20"/>
                <w:szCs w:val="20"/>
              </w:rPr>
              <w:t>Soft Drinks</w:t>
            </w:r>
          </w:p>
        </w:tc>
        <w:tc>
          <w:tcPr>
            <w:tcW w:w="2977" w:type="dxa"/>
          </w:tcPr>
          <w:p w14:paraId="01FC138C" w14:textId="1ED4F3FB" w:rsidR="004F0055" w:rsidRDefault="004F0055" w:rsidP="00372E29">
            <w:pPr>
              <w:rPr>
                <w:rFonts w:ascii="Arial" w:hAnsi="Arial" w:cs="Arial"/>
                <w:sz w:val="20"/>
                <w:szCs w:val="20"/>
              </w:rPr>
            </w:pPr>
            <w:r>
              <w:rPr>
                <w:rFonts w:ascii="Arial" w:hAnsi="Arial" w:cs="Arial"/>
                <w:sz w:val="20"/>
                <w:szCs w:val="20"/>
              </w:rPr>
              <w:t>6.2%</w:t>
            </w:r>
          </w:p>
        </w:tc>
      </w:tr>
      <w:tr w:rsidR="004F0055" w14:paraId="5704E7A0" w14:textId="77777777" w:rsidTr="004F0055">
        <w:tc>
          <w:tcPr>
            <w:tcW w:w="1838" w:type="dxa"/>
          </w:tcPr>
          <w:p w14:paraId="4910D8F7" w14:textId="07E7CF65" w:rsidR="004F0055" w:rsidRDefault="004F0055" w:rsidP="00372E29">
            <w:pPr>
              <w:rPr>
                <w:rFonts w:ascii="Arial" w:hAnsi="Arial" w:cs="Arial"/>
                <w:sz w:val="20"/>
                <w:szCs w:val="20"/>
              </w:rPr>
            </w:pPr>
            <w:r>
              <w:rPr>
                <w:rFonts w:ascii="Arial" w:hAnsi="Arial" w:cs="Arial"/>
                <w:sz w:val="20"/>
                <w:szCs w:val="20"/>
              </w:rPr>
              <w:t>Confectionery</w:t>
            </w:r>
          </w:p>
        </w:tc>
        <w:tc>
          <w:tcPr>
            <w:tcW w:w="2977" w:type="dxa"/>
          </w:tcPr>
          <w:p w14:paraId="26604A08" w14:textId="4F28A959" w:rsidR="004F0055" w:rsidRDefault="004F0055" w:rsidP="00372E29">
            <w:pPr>
              <w:rPr>
                <w:rFonts w:ascii="Arial" w:hAnsi="Arial" w:cs="Arial"/>
                <w:sz w:val="20"/>
                <w:szCs w:val="20"/>
              </w:rPr>
            </w:pPr>
            <w:r>
              <w:rPr>
                <w:rFonts w:ascii="Arial" w:hAnsi="Arial" w:cs="Arial"/>
                <w:sz w:val="20"/>
                <w:szCs w:val="20"/>
              </w:rPr>
              <w:t>4.8%</w:t>
            </w:r>
          </w:p>
        </w:tc>
      </w:tr>
    </w:tbl>
    <w:p w14:paraId="72B580B3" w14:textId="77777777" w:rsidR="00053FF2" w:rsidRDefault="00053FF2" w:rsidP="00372E29">
      <w:pPr>
        <w:rPr>
          <w:rFonts w:ascii="Arial" w:hAnsi="Arial" w:cs="Arial"/>
          <w:sz w:val="20"/>
          <w:szCs w:val="20"/>
        </w:rPr>
      </w:pPr>
    </w:p>
    <w:p w14:paraId="2AC31943" w14:textId="0DB1151A" w:rsidR="0076415F" w:rsidRDefault="001C257C" w:rsidP="007446FD">
      <w:pPr>
        <w:rPr>
          <w:rFonts w:ascii="Arial" w:hAnsi="Arial" w:cs="Arial"/>
          <w:i/>
          <w:iCs/>
          <w:sz w:val="20"/>
          <w:szCs w:val="20"/>
        </w:rPr>
      </w:pPr>
      <w:r>
        <w:rPr>
          <w:rFonts w:ascii="Arial" w:hAnsi="Arial" w:cs="Arial"/>
          <w:sz w:val="20"/>
          <w:szCs w:val="20"/>
        </w:rPr>
        <w:t xml:space="preserve">Commenting on the results, </w:t>
      </w:r>
      <w:r w:rsidR="004F0055">
        <w:rPr>
          <w:rFonts w:ascii="Arial" w:hAnsi="Arial" w:cs="Arial"/>
          <w:sz w:val="20"/>
          <w:szCs w:val="20"/>
        </w:rPr>
        <w:t>Sophie Lane</w:t>
      </w:r>
      <w:r>
        <w:rPr>
          <w:rFonts w:ascii="Arial" w:hAnsi="Arial" w:cs="Arial"/>
          <w:sz w:val="20"/>
          <w:szCs w:val="20"/>
        </w:rPr>
        <w:t xml:space="preserve">, </w:t>
      </w:r>
      <w:r w:rsidR="004F0055">
        <w:rPr>
          <w:rFonts w:ascii="Arial" w:hAnsi="Arial" w:cs="Arial"/>
          <w:sz w:val="20"/>
          <w:szCs w:val="20"/>
        </w:rPr>
        <w:t>Key Account Lead</w:t>
      </w:r>
      <w:r>
        <w:rPr>
          <w:rFonts w:ascii="Arial" w:hAnsi="Arial" w:cs="Arial"/>
          <w:sz w:val="20"/>
          <w:szCs w:val="20"/>
        </w:rPr>
        <w:t xml:space="preserve"> at Lumina Intelligence said,</w:t>
      </w:r>
      <w:r w:rsidR="00C12A06">
        <w:rPr>
          <w:rFonts w:ascii="Arial" w:hAnsi="Arial" w:cs="Arial"/>
          <w:sz w:val="20"/>
          <w:szCs w:val="20"/>
        </w:rPr>
        <w:t xml:space="preserve"> </w:t>
      </w:r>
      <w:r w:rsidR="00C12A06" w:rsidRPr="00081896">
        <w:rPr>
          <w:rFonts w:ascii="Arial" w:hAnsi="Arial" w:cs="Arial"/>
          <w:i/>
          <w:iCs/>
          <w:sz w:val="20"/>
          <w:szCs w:val="20"/>
        </w:rPr>
        <w:t>“</w:t>
      </w:r>
      <w:r w:rsidR="00C12A06">
        <w:rPr>
          <w:rFonts w:ascii="Arial" w:hAnsi="Arial" w:cs="Arial"/>
          <w:i/>
          <w:iCs/>
          <w:sz w:val="20"/>
          <w:szCs w:val="20"/>
        </w:rPr>
        <w:t>For brands impacted by HFSS, strategies around shopper marketing will become even more crucial. How can you drive attention to your product within the main fixtures? For brands not impacted, how can you take advantage of any additional product placement opportunities? For retailers, how can they work with brands and open up alternative activation opportunities?”</w:t>
      </w:r>
    </w:p>
    <w:p w14:paraId="5D835139" w14:textId="2D2FCECA" w:rsidR="000B63E1" w:rsidRDefault="000B63E1" w:rsidP="007446FD">
      <w:pPr>
        <w:rPr>
          <w:rFonts w:ascii="Arial" w:hAnsi="Arial" w:cs="Arial"/>
          <w:sz w:val="20"/>
          <w:szCs w:val="20"/>
        </w:rPr>
      </w:pPr>
      <w:r>
        <w:rPr>
          <w:rFonts w:ascii="Arial" w:hAnsi="Arial" w:cs="Arial"/>
          <w:i/>
          <w:iCs/>
          <w:sz w:val="20"/>
          <w:szCs w:val="20"/>
        </w:rPr>
        <w:t xml:space="preserve">“Preparation is critical, with retailers needing to work closely with brands to create a solution that suits everyone and mitigates the risks posed by HFSS. </w:t>
      </w:r>
      <w:r w:rsidR="00F245D4" w:rsidRPr="00F245D4">
        <w:rPr>
          <w:rFonts w:ascii="Arial" w:hAnsi="Arial" w:cs="Arial"/>
          <w:i/>
          <w:iCs/>
          <w:sz w:val="20"/>
          <w:szCs w:val="20"/>
        </w:rPr>
        <w:t xml:space="preserve">Alternative strategies such as introducing PMP lines, expanding meal deal and cross merchandising options outside of the usual 3 item lunch deal will help retain lockdown shoppers and maintain value for money satisfaction ratings in </w:t>
      </w:r>
      <w:r w:rsidR="00F245D4">
        <w:rPr>
          <w:rFonts w:ascii="Arial" w:hAnsi="Arial" w:cs="Arial"/>
          <w:i/>
          <w:iCs/>
          <w:sz w:val="20"/>
          <w:szCs w:val="20"/>
        </w:rPr>
        <w:t>c</w:t>
      </w:r>
      <w:r w:rsidR="00F245D4" w:rsidRPr="00F245D4">
        <w:rPr>
          <w:rFonts w:ascii="Arial" w:hAnsi="Arial" w:cs="Arial"/>
          <w:i/>
          <w:iCs/>
          <w:sz w:val="20"/>
          <w:szCs w:val="20"/>
        </w:rPr>
        <w:t>onvenience stores. PMPs are particularly important for impulse categories reassuring shoppers they are not being overcharged and helping retailers maintain their competitive edge over supermarkets and discounters. In total, 46% of convenience shoppers purchase PMP products</w:t>
      </w:r>
      <w:r>
        <w:rPr>
          <w:rFonts w:ascii="Arial" w:hAnsi="Arial" w:cs="Arial"/>
          <w:i/>
          <w:iCs/>
          <w:sz w:val="20"/>
          <w:szCs w:val="20"/>
        </w:rPr>
        <w:t>.”</w:t>
      </w:r>
    </w:p>
    <w:p w14:paraId="37CCD9B8" w14:textId="1C97F7DC"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3C76B791" w14:textId="2C08E8E4" w:rsidR="0049573C" w:rsidRPr="0049573C" w:rsidRDefault="0049573C" w:rsidP="0049573C">
      <w:pPr>
        <w:rPr>
          <w:rFonts w:ascii="Arial" w:hAnsi="Arial" w:cs="Arial"/>
          <w:sz w:val="20"/>
          <w:szCs w:val="20"/>
        </w:rPr>
      </w:pPr>
      <w:r w:rsidRPr="0049573C">
        <w:rPr>
          <w:rFonts w:ascii="Arial" w:hAnsi="Arial" w:cs="Arial"/>
          <w:sz w:val="20"/>
          <w:szCs w:val="20"/>
        </w:rPr>
        <w:t xml:space="preserve">The Lumina Intelligence UK </w:t>
      </w:r>
      <w:r w:rsidR="00CB627F">
        <w:rPr>
          <w:rFonts w:ascii="Arial" w:hAnsi="Arial" w:cs="Arial"/>
          <w:sz w:val="20"/>
          <w:szCs w:val="20"/>
        </w:rPr>
        <w:t>Convenience Market</w:t>
      </w:r>
      <w:r w:rsidRPr="0049573C">
        <w:rPr>
          <w:rFonts w:ascii="Arial" w:hAnsi="Arial" w:cs="Arial"/>
          <w:sz w:val="20"/>
          <w:szCs w:val="20"/>
        </w:rPr>
        <w:t xml:space="preserve"> Report 2021 is the trusted source of insight for UK leading manufacturers and operators.</w:t>
      </w:r>
    </w:p>
    <w:p w14:paraId="354366F1" w14:textId="4123CF8C" w:rsidR="0049573C" w:rsidRDefault="0049573C" w:rsidP="0049573C">
      <w:pPr>
        <w:rPr>
          <w:rFonts w:ascii="Arial" w:hAnsi="Arial" w:cs="Arial"/>
          <w:sz w:val="20"/>
          <w:szCs w:val="20"/>
        </w:rPr>
      </w:pPr>
      <w:r>
        <w:rPr>
          <w:rFonts w:ascii="Arial" w:hAnsi="Arial" w:cs="Arial"/>
          <w:sz w:val="20"/>
          <w:szCs w:val="20"/>
        </w:rPr>
        <w:t>The report methodology includes:</w:t>
      </w:r>
    </w:p>
    <w:p w14:paraId="34560514" w14:textId="325CDD12" w:rsidR="00CB627F" w:rsidRPr="00CB627F" w:rsidRDefault="00CB627F" w:rsidP="00CB627F">
      <w:pPr>
        <w:pStyle w:val="ListParagraph"/>
        <w:numPr>
          <w:ilvl w:val="0"/>
          <w:numId w:val="13"/>
        </w:numPr>
        <w:rPr>
          <w:rFonts w:ascii="Arial" w:hAnsi="Arial" w:cs="Arial"/>
          <w:sz w:val="20"/>
          <w:szCs w:val="20"/>
        </w:rPr>
      </w:pPr>
      <w:r w:rsidRPr="00CB627F">
        <w:rPr>
          <w:rFonts w:ascii="Arial" w:hAnsi="Arial" w:cs="Arial"/>
          <w:sz w:val="20"/>
          <w:szCs w:val="20"/>
        </w:rPr>
        <w:t>1,500 weekly consumer surveys from Lumina Intelligence Convenience Tracking Programme - the UK’s largest UK convenience shopper study</w:t>
      </w:r>
    </w:p>
    <w:p w14:paraId="0C330011" w14:textId="6FED997B" w:rsidR="00CB627F" w:rsidRPr="00CB627F" w:rsidRDefault="00CB627F" w:rsidP="00CB627F">
      <w:pPr>
        <w:pStyle w:val="ListParagraph"/>
        <w:numPr>
          <w:ilvl w:val="0"/>
          <w:numId w:val="13"/>
        </w:numPr>
        <w:rPr>
          <w:rFonts w:ascii="Arial" w:hAnsi="Arial" w:cs="Arial"/>
          <w:sz w:val="20"/>
          <w:szCs w:val="20"/>
        </w:rPr>
      </w:pPr>
      <w:r w:rsidRPr="00CB627F">
        <w:rPr>
          <w:rFonts w:ascii="Arial" w:hAnsi="Arial" w:cs="Arial"/>
          <w:sz w:val="20"/>
          <w:szCs w:val="20"/>
        </w:rPr>
        <w:t>Convenience market sizing from Lumina Intelligence Grocery Data Index, which provides the structure, size and turnover of the retail market with data for over +120 retailers.</w:t>
      </w:r>
    </w:p>
    <w:p w14:paraId="15DE1394" w14:textId="2019CC2E" w:rsidR="00CB627F" w:rsidRPr="00CB627F" w:rsidRDefault="00CB627F" w:rsidP="00CB627F">
      <w:pPr>
        <w:pStyle w:val="ListParagraph"/>
        <w:numPr>
          <w:ilvl w:val="0"/>
          <w:numId w:val="13"/>
        </w:numPr>
        <w:rPr>
          <w:rFonts w:ascii="Arial" w:hAnsi="Arial" w:cs="Arial"/>
          <w:sz w:val="20"/>
          <w:szCs w:val="20"/>
        </w:rPr>
      </w:pPr>
      <w:r w:rsidRPr="00CB627F">
        <w:rPr>
          <w:rFonts w:ascii="Arial" w:hAnsi="Arial" w:cs="Arial"/>
          <w:sz w:val="20"/>
          <w:szCs w:val="20"/>
        </w:rPr>
        <w:t>Channel detail and topical content and subject deep dives from Lumina Intelligence Channel Pulse - 1,000 consumer interviews across UK grocery retail shoppers.</w:t>
      </w:r>
    </w:p>
    <w:p w14:paraId="4CEA97D8" w14:textId="03D8F533" w:rsidR="00ED3ABD" w:rsidRPr="00E362CA" w:rsidRDefault="00ED3ABD" w:rsidP="0049573C">
      <w:pPr>
        <w:rPr>
          <w:rFonts w:ascii="Arial" w:hAnsi="Arial" w:cs="Arial"/>
          <w:b/>
          <w:bCs/>
          <w:sz w:val="20"/>
          <w:szCs w:val="20"/>
        </w:rPr>
      </w:pPr>
      <w:r w:rsidRPr="00E362CA">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50116A" w:rsidP="001249C3">
      <w:pPr>
        <w:rPr>
          <w:rFonts w:ascii="Arial" w:hAnsi="Arial" w:cs="Arial"/>
          <w:sz w:val="20"/>
          <w:szCs w:val="20"/>
        </w:rPr>
      </w:pPr>
      <w:hyperlink r:id="rId9"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E1FCF" w14:textId="77777777" w:rsidR="0036362F" w:rsidRDefault="0036362F" w:rsidP="006247CE">
      <w:pPr>
        <w:spacing w:after="0" w:line="240" w:lineRule="auto"/>
      </w:pPr>
      <w:r>
        <w:separator/>
      </w:r>
    </w:p>
  </w:endnote>
  <w:endnote w:type="continuationSeparator" w:id="0">
    <w:p w14:paraId="6D355E92" w14:textId="77777777" w:rsidR="0036362F" w:rsidRDefault="0036362F" w:rsidP="00624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11E11" w14:textId="77777777" w:rsidR="0036362F" w:rsidRDefault="0036362F" w:rsidP="006247CE">
      <w:pPr>
        <w:spacing w:after="0" w:line="240" w:lineRule="auto"/>
      </w:pPr>
      <w:r>
        <w:separator/>
      </w:r>
    </w:p>
  </w:footnote>
  <w:footnote w:type="continuationSeparator" w:id="0">
    <w:p w14:paraId="201617BD" w14:textId="77777777" w:rsidR="0036362F" w:rsidRDefault="0036362F" w:rsidP="006247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145C9"/>
    <w:multiLevelType w:val="hybridMultilevel"/>
    <w:tmpl w:val="C6E4B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A7345C"/>
    <w:multiLevelType w:val="hybridMultilevel"/>
    <w:tmpl w:val="BE14A9B4"/>
    <w:lvl w:ilvl="0" w:tplc="EDE027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BA4DC4"/>
    <w:multiLevelType w:val="hybridMultilevel"/>
    <w:tmpl w:val="21AC3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53443"/>
    <w:multiLevelType w:val="hybridMultilevel"/>
    <w:tmpl w:val="722EE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0706AC"/>
    <w:multiLevelType w:val="hybridMultilevel"/>
    <w:tmpl w:val="3600F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301813"/>
    <w:multiLevelType w:val="hybridMultilevel"/>
    <w:tmpl w:val="ABB25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7E268D"/>
    <w:multiLevelType w:val="hybridMultilevel"/>
    <w:tmpl w:val="526C8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1D330E"/>
    <w:multiLevelType w:val="hybridMultilevel"/>
    <w:tmpl w:val="AA4A5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1"/>
  </w:num>
  <w:num w:numId="4">
    <w:abstractNumId w:val="8"/>
  </w:num>
  <w:num w:numId="5">
    <w:abstractNumId w:val="4"/>
  </w:num>
  <w:num w:numId="6">
    <w:abstractNumId w:val="9"/>
  </w:num>
  <w:num w:numId="7">
    <w:abstractNumId w:val="0"/>
  </w:num>
  <w:num w:numId="8">
    <w:abstractNumId w:val="12"/>
  </w:num>
  <w:num w:numId="9">
    <w:abstractNumId w:val="3"/>
  </w:num>
  <w:num w:numId="10">
    <w:abstractNumId w:val="1"/>
  </w:num>
  <w:num w:numId="11">
    <w:abstractNumId w:val="7"/>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4714B"/>
    <w:rsid w:val="00053FF2"/>
    <w:rsid w:val="000540D1"/>
    <w:rsid w:val="00072404"/>
    <w:rsid w:val="00081896"/>
    <w:rsid w:val="000B63E1"/>
    <w:rsid w:val="000C14C9"/>
    <w:rsid w:val="000D7180"/>
    <w:rsid w:val="000D72C7"/>
    <w:rsid w:val="000F1972"/>
    <w:rsid w:val="000F3329"/>
    <w:rsid w:val="00113451"/>
    <w:rsid w:val="00116246"/>
    <w:rsid w:val="00117161"/>
    <w:rsid w:val="001249C3"/>
    <w:rsid w:val="00130BE2"/>
    <w:rsid w:val="00164610"/>
    <w:rsid w:val="001B2875"/>
    <w:rsid w:val="001C257C"/>
    <w:rsid w:val="001C2E4F"/>
    <w:rsid w:val="001C50C1"/>
    <w:rsid w:val="001C589F"/>
    <w:rsid w:val="001C5B98"/>
    <w:rsid w:val="001C65B6"/>
    <w:rsid w:val="001D612C"/>
    <w:rsid w:val="0020205C"/>
    <w:rsid w:val="00214D95"/>
    <w:rsid w:val="00217EE3"/>
    <w:rsid w:val="00261F91"/>
    <w:rsid w:val="002624EC"/>
    <w:rsid w:val="002723AE"/>
    <w:rsid w:val="00284E8B"/>
    <w:rsid w:val="00285BD0"/>
    <w:rsid w:val="002A0F0F"/>
    <w:rsid w:val="002A1E6A"/>
    <w:rsid w:val="002B740C"/>
    <w:rsid w:val="002B747C"/>
    <w:rsid w:val="002F0BB4"/>
    <w:rsid w:val="002F7EAF"/>
    <w:rsid w:val="00302E10"/>
    <w:rsid w:val="00332724"/>
    <w:rsid w:val="00345B52"/>
    <w:rsid w:val="00363346"/>
    <w:rsid w:val="0036362F"/>
    <w:rsid w:val="00372E29"/>
    <w:rsid w:val="003C4BB2"/>
    <w:rsid w:val="003E204B"/>
    <w:rsid w:val="003E4324"/>
    <w:rsid w:val="003F621E"/>
    <w:rsid w:val="00407BDB"/>
    <w:rsid w:val="00437579"/>
    <w:rsid w:val="0044412F"/>
    <w:rsid w:val="00471332"/>
    <w:rsid w:val="00476F33"/>
    <w:rsid w:val="00493A4C"/>
    <w:rsid w:val="0049573C"/>
    <w:rsid w:val="004B1277"/>
    <w:rsid w:val="004B3902"/>
    <w:rsid w:val="004D23F6"/>
    <w:rsid w:val="004E551E"/>
    <w:rsid w:val="004F0055"/>
    <w:rsid w:val="004F1FF8"/>
    <w:rsid w:val="004F62D9"/>
    <w:rsid w:val="0050116A"/>
    <w:rsid w:val="00511B5A"/>
    <w:rsid w:val="00550B08"/>
    <w:rsid w:val="0055150D"/>
    <w:rsid w:val="00553497"/>
    <w:rsid w:val="00566CAE"/>
    <w:rsid w:val="0058740A"/>
    <w:rsid w:val="005A27EC"/>
    <w:rsid w:val="005B7B3F"/>
    <w:rsid w:val="005C0F44"/>
    <w:rsid w:val="005C7794"/>
    <w:rsid w:val="005E7052"/>
    <w:rsid w:val="005F6F8C"/>
    <w:rsid w:val="006044E4"/>
    <w:rsid w:val="00604B4A"/>
    <w:rsid w:val="006120E6"/>
    <w:rsid w:val="006247CE"/>
    <w:rsid w:val="0064548D"/>
    <w:rsid w:val="0064772D"/>
    <w:rsid w:val="00664850"/>
    <w:rsid w:val="006A39BA"/>
    <w:rsid w:val="006B6F84"/>
    <w:rsid w:val="006B7F83"/>
    <w:rsid w:val="006D1829"/>
    <w:rsid w:val="006E735F"/>
    <w:rsid w:val="006E79FF"/>
    <w:rsid w:val="007075BD"/>
    <w:rsid w:val="00720ABB"/>
    <w:rsid w:val="007221DF"/>
    <w:rsid w:val="007229E3"/>
    <w:rsid w:val="007446FD"/>
    <w:rsid w:val="00755025"/>
    <w:rsid w:val="0076037A"/>
    <w:rsid w:val="0076415F"/>
    <w:rsid w:val="007716CF"/>
    <w:rsid w:val="007863A3"/>
    <w:rsid w:val="007B4F7A"/>
    <w:rsid w:val="007C2184"/>
    <w:rsid w:val="007F3C85"/>
    <w:rsid w:val="008249B4"/>
    <w:rsid w:val="008276B8"/>
    <w:rsid w:val="00846DDB"/>
    <w:rsid w:val="00862CCB"/>
    <w:rsid w:val="008852CE"/>
    <w:rsid w:val="00885322"/>
    <w:rsid w:val="008A46AD"/>
    <w:rsid w:val="008B3101"/>
    <w:rsid w:val="008D4655"/>
    <w:rsid w:val="008E0B7D"/>
    <w:rsid w:val="008E317A"/>
    <w:rsid w:val="008E5A63"/>
    <w:rsid w:val="00906A89"/>
    <w:rsid w:val="0094762B"/>
    <w:rsid w:val="00976FE8"/>
    <w:rsid w:val="009A17EF"/>
    <w:rsid w:val="009A6775"/>
    <w:rsid w:val="009C5814"/>
    <w:rsid w:val="009C613A"/>
    <w:rsid w:val="009D1543"/>
    <w:rsid w:val="009D7AE0"/>
    <w:rsid w:val="00A3135A"/>
    <w:rsid w:val="00A36137"/>
    <w:rsid w:val="00A9540F"/>
    <w:rsid w:val="00A95E5C"/>
    <w:rsid w:val="00AA3F19"/>
    <w:rsid w:val="00AB3399"/>
    <w:rsid w:val="00AD236E"/>
    <w:rsid w:val="00AE1B2B"/>
    <w:rsid w:val="00AE6B2F"/>
    <w:rsid w:val="00B03B5B"/>
    <w:rsid w:val="00B06987"/>
    <w:rsid w:val="00B06B5C"/>
    <w:rsid w:val="00B414CE"/>
    <w:rsid w:val="00B42877"/>
    <w:rsid w:val="00B46E6F"/>
    <w:rsid w:val="00B57E3C"/>
    <w:rsid w:val="00B71D91"/>
    <w:rsid w:val="00B94AC2"/>
    <w:rsid w:val="00BA596C"/>
    <w:rsid w:val="00BA5FFC"/>
    <w:rsid w:val="00BB4747"/>
    <w:rsid w:val="00BC0036"/>
    <w:rsid w:val="00BE00D3"/>
    <w:rsid w:val="00BF4DC8"/>
    <w:rsid w:val="00BF6B5A"/>
    <w:rsid w:val="00C04D48"/>
    <w:rsid w:val="00C12A06"/>
    <w:rsid w:val="00C16ADB"/>
    <w:rsid w:val="00C270FD"/>
    <w:rsid w:val="00C273A6"/>
    <w:rsid w:val="00C30C1F"/>
    <w:rsid w:val="00C51532"/>
    <w:rsid w:val="00C545F0"/>
    <w:rsid w:val="00C77C17"/>
    <w:rsid w:val="00C86028"/>
    <w:rsid w:val="00CB101B"/>
    <w:rsid w:val="00CB38ED"/>
    <w:rsid w:val="00CB627F"/>
    <w:rsid w:val="00CE6B8A"/>
    <w:rsid w:val="00D07C64"/>
    <w:rsid w:val="00D25202"/>
    <w:rsid w:val="00D30793"/>
    <w:rsid w:val="00D308D1"/>
    <w:rsid w:val="00D36AF3"/>
    <w:rsid w:val="00D81C35"/>
    <w:rsid w:val="00DA3FA1"/>
    <w:rsid w:val="00DB2AFC"/>
    <w:rsid w:val="00DD5EEB"/>
    <w:rsid w:val="00E214AC"/>
    <w:rsid w:val="00E362CA"/>
    <w:rsid w:val="00E56A95"/>
    <w:rsid w:val="00E6199F"/>
    <w:rsid w:val="00E64F14"/>
    <w:rsid w:val="00E72427"/>
    <w:rsid w:val="00E734FF"/>
    <w:rsid w:val="00E956AE"/>
    <w:rsid w:val="00E975B9"/>
    <w:rsid w:val="00EA1B39"/>
    <w:rsid w:val="00EB6EF0"/>
    <w:rsid w:val="00EC455C"/>
    <w:rsid w:val="00ED0369"/>
    <w:rsid w:val="00ED2C5E"/>
    <w:rsid w:val="00ED3ABD"/>
    <w:rsid w:val="00EE59D7"/>
    <w:rsid w:val="00F1652C"/>
    <w:rsid w:val="00F16921"/>
    <w:rsid w:val="00F245D4"/>
    <w:rsid w:val="00F30CBB"/>
    <w:rsid w:val="00F43C71"/>
    <w:rsid w:val="00F560F8"/>
    <w:rsid w:val="00FB725D"/>
    <w:rsid w:val="00FB7D7E"/>
    <w:rsid w:val="00FC1A9F"/>
    <w:rsid w:val="00FE3E28"/>
    <w:rsid w:val="00FF61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paragraph" w:styleId="Header">
    <w:name w:val="header"/>
    <w:basedOn w:val="Normal"/>
    <w:link w:val="HeaderChar"/>
    <w:uiPriority w:val="99"/>
    <w:unhideWhenUsed/>
    <w:rsid w:val="006247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7CE"/>
  </w:style>
  <w:style w:type="paragraph" w:styleId="Footer">
    <w:name w:val="footer"/>
    <w:basedOn w:val="Normal"/>
    <w:link w:val="FooterChar"/>
    <w:uiPriority w:val="99"/>
    <w:unhideWhenUsed/>
    <w:rsid w:val="006247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7CE"/>
  </w:style>
  <w:style w:type="table" w:styleId="TableGrid">
    <w:name w:val="Table Grid"/>
    <w:basedOn w:val="TableNormal"/>
    <w:uiPriority w:val="39"/>
    <w:rsid w:val="005F6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orgio.rigali@lumina-intelligence.co.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umina-intellig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555</TotalTime>
  <Pages>1</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16</cp:revision>
  <dcterms:created xsi:type="dcterms:W3CDTF">2021-07-15T08:10:00Z</dcterms:created>
  <dcterms:modified xsi:type="dcterms:W3CDTF">2021-07-26T10:23:00Z</dcterms:modified>
</cp:coreProperties>
</file>