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C458E"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11E7913" w:rsidR="00ED3ABD" w:rsidRPr="00550B08" w:rsidRDefault="00C108C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12</w:t>
      </w:r>
      <w:r w:rsidR="008D53DF">
        <w:rPr>
          <w:rStyle w:val="Hyperlink"/>
          <w:rFonts w:ascii="Arial" w:hAnsi="Arial" w:cs="Arial"/>
          <w:b/>
          <w:bCs/>
          <w:color w:val="505050"/>
          <w:sz w:val="18"/>
          <w:szCs w:val="18"/>
          <w:u w:val="none"/>
        </w:rPr>
        <w:t xml:space="preserve"> August</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132130E9" w14:textId="686A771F" w:rsidR="00D465BC" w:rsidRPr="006B6F14" w:rsidRDefault="00D465BC" w:rsidP="00D465BC">
      <w:pPr>
        <w:jc w:val="center"/>
        <w:rPr>
          <w:rFonts w:ascii="Arial" w:hAnsi="Arial" w:cs="Arial"/>
          <w:b/>
          <w:bCs/>
          <w:sz w:val="32"/>
          <w:szCs w:val="32"/>
        </w:rPr>
      </w:pPr>
      <w:r>
        <w:rPr>
          <w:rFonts w:ascii="Arial" w:hAnsi="Arial" w:cs="Arial"/>
          <w:b/>
          <w:bCs/>
          <w:sz w:val="32"/>
          <w:szCs w:val="32"/>
        </w:rPr>
        <w:t>Import/export challenges and staff shortages the biggest impacts of Brexit</w:t>
      </w:r>
    </w:p>
    <w:p w14:paraId="51687D77" w14:textId="77777777" w:rsidR="00372E29" w:rsidRDefault="00372E29" w:rsidP="00372E29">
      <w:pPr>
        <w:rPr>
          <w:rFonts w:ascii="Arial" w:hAnsi="Arial" w:cs="Arial"/>
          <w:sz w:val="20"/>
          <w:szCs w:val="20"/>
        </w:rPr>
      </w:pPr>
    </w:p>
    <w:p w14:paraId="437164E1" w14:textId="2A857519" w:rsidR="00F05685" w:rsidRDefault="00372E29" w:rsidP="00200E6B">
      <w:pPr>
        <w:rPr>
          <w:rFonts w:ascii="Arial" w:hAnsi="Arial" w:cs="Arial"/>
          <w:sz w:val="20"/>
          <w:szCs w:val="20"/>
        </w:rPr>
      </w:pPr>
      <w:r>
        <w:rPr>
          <w:rFonts w:ascii="Arial" w:hAnsi="Arial" w:cs="Arial"/>
          <w:sz w:val="20"/>
          <w:szCs w:val="20"/>
        </w:rPr>
        <w:t xml:space="preserve">According to the Lumina Intelligence </w:t>
      </w:r>
      <w:r w:rsidR="00F05685">
        <w:rPr>
          <w:rFonts w:ascii="Arial" w:hAnsi="Arial" w:cs="Arial"/>
          <w:sz w:val="20"/>
          <w:szCs w:val="20"/>
        </w:rPr>
        <w:t>Top of Mind Business Leaders Survey, challenges around importing/exporting and staff shortages have been the biggest impacts of Brexit to businesses within the grocery retail and hospitality sectors.</w:t>
      </w:r>
    </w:p>
    <w:p w14:paraId="2D749929" w14:textId="7FDDEF33" w:rsidR="00F05685" w:rsidRDefault="00777674" w:rsidP="00200E6B">
      <w:pPr>
        <w:rPr>
          <w:rFonts w:ascii="Arial" w:hAnsi="Arial" w:cs="Arial"/>
          <w:i/>
          <w:iCs/>
          <w:sz w:val="20"/>
          <w:szCs w:val="20"/>
        </w:rPr>
      </w:pPr>
      <w:r w:rsidRPr="00777674">
        <w:rPr>
          <w:rFonts w:ascii="Arial" w:hAnsi="Arial" w:cs="Arial"/>
          <w:i/>
          <w:iCs/>
          <w:sz w:val="20"/>
          <w:szCs w:val="20"/>
        </w:rPr>
        <w:t>What have been the biggest impacts on your business from Brexit, if any?</w:t>
      </w:r>
    </w:p>
    <w:tbl>
      <w:tblPr>
        <w:tblStyle w:val="TableGrid"/>
        <w:tblpPr w:leftFromText="180" w:rightFromText="180" w:vertAnchor="text" w:horzAnchor="margin" w:tblpY="74"/>
        <w:tblW w:w="9634" w:type="dxa"/>
        <w:tblLook w:val="04A0" w:firstRow="1" w:lastRow="0" w:firstColumn="1" w:lastColumn="0" w:noHBand="0" w:noVBand="1"/>
      </w:tblPr>
      <w:tblGrid>
        <w:gridCol w:w="4531"/>
        <w:gridCol w:w="5103"/>
      </w:tblGrid>
      <w:tr w:rsidR="00777674" w14:paraId="32D7A9A7" w14:textId="77777777" w:rsidTr="00777674">
        <w:tc>
          <w:tcPr>
            <w:tcW w:w="4531" w:type="dxa"/>
            <w:shd w:val="clear" w:color="auto" w:fill="44546A" w:themeFill="text2"/>
          </w:tcPr>
          <w:p w14:paraId="6C7E4714" w14:textId="2E759522" w:rsidR="00777674" w:rsidRPr="00A9540F" w:rsidRDefault="00777674" w:rsidP="00777674">
            <w:pPr>
              <w:rPr>
                <w:rFonts w:ascii="Arial" w:hAnsi="Arial" w:cs="Arial"/>
                <w:b/>
                <w:bCs/>
                <w:color w:val="FFFFFF" w:themeColor="background1"/>
                <w:sz w:val="20"/>
                <w:szCs w:val="20"/>
              </w:rPr>
            </w:pPr>
            <w:r>
              <w:rPr>
                <w:rFonts w:ascii="Arial" w:hAnsi="Arial" w:cs="Arial"/>
                <w:b/>
                <w:bCs/>
                <w:color w:val="FFFFFF" w:themeColor="background1"/>
                <w:sz w:val="20"/>
                <w:szCs w:val="20"/>
              </w:rPr>
              <w:t>Impact</w:t>
            </w:r>
          </w:p>
        </w:tc>
        <w:tc>
          <w:tcPr>
            <w:tcW w:w="5103" w:type="dxa"/>
            <w:shd w:val="clear" w:color="auto" w:fill="44546A" w:themeFill="text2"/>
          </w:tcPr>
          <w:p w14:paraId="4379CDC4" w14:textId="26B91756" w:rsidR="00777674" w:rsidRPr="00A9540F" w:rsidRDefault="00777674" w:rsidP="00777674">
            <w:pPr>
              <w:rPr>
                <w:rFonts w:ascii="Arial" w:hAnsi="Arial" w:cs="Arial"/>
                <w:b/>
                <w:bCs/>
                <w:color w:val="FFFFFF" w:themeColor="background1"/>
                <w:sz w:val="20"/>
                <w:szCs w:val="20"/>
              </w:rPr>
            </w:pPr>
            <w:r>
              <w:rPr>
                <w:rFonts w:ascii="Arial" w:hAnsi="Arial" w:cs="Arial"/>
                <w:b/>
                <w:bCs/>
                <w:color w:val="FFFFFF" w:themeColor="background1"/>
                <w:sz w:val="20"/>
                <w:szCs w:val="20"/>
              </w:rPr>
              <w:t>% of business leaders who agree</w:t>
            </w:r>
          </w:p>
        </w:tc>
      </w:tr>
      <w:tr w:rsidR="00777674" w14:paraId="292A371B" w14:textId="77777777" w:rsidTr="00777674">
        <w:tc>
          <w:tcPr>
            <w:tcW w:w="4531" w:type="dxa"/>
            <w:vAlign w:val="center"/>
          </w:tcPr>
          <w:p w14:paraId="16943028" w14:textId="6B80006F" w:rsidR="00777674" w:rsidRDefault="00777674" w:rsidP="00777674">
            <w:pPr>
              <w:rPr>
                <w:rFonts w:ascii="Arial" w:hAnsi="Arial" w:cs="Arial"/>
                <w:sz w:val="20"/>
                <w:szCs w:val="20"/>
              </w:rPr>
            </w:pPr>
            <w:r w:rsidRPr="00777674">
              <w:rPr>
                <w:rFonts w:ascii="Arial" w:hAnsi="Arial" w:cs="Arial"/>
                <w:sz w:val="20"/>
                <w:szCs w:val="20"/>
              </w:rPr>
              <w:t>Increased</w:t>
            </w:r>
            <w:r>
              <w:rPr>
                <w:rFonts w:ascii="Arial" w:hAnsi="Arial" w:cs="Arial"/>
                <w:sz w:val="20"/>
                <w:szCs w:val="20"/>
              </w:rPr>
              <w:t xml:space="preserve"> </w:t>
            </w:r>
            <w:r w:rsidRPr="00777674">
              <w:rPr>
                <w:rFonts w:ascii="Arial" w:hAnsi="Arial" w:cs="Arial"/>
                <w:sz w:val="20"/>
                <w:szCs w:val="20"/>
              </w:rPr>
              <w:t>administrative</w:t>
            </w:r>
            <w:r>
              <w:rPr>
                <w:rFonts w:ascii="Arial" w:hAnsi="Arial" w:cs="Arial"/>
                <w:sz w:val="20"/>
                <w:szCs w:val="20"/>
              </w:rPr>
              <w:t xml:space="preserve"> </w:t>
            </w:r>
            <w:r w:rsidRPr="00777674">
              <w:rPr>
                <w:rFonts w:ascii="Arial" w:hAnsi="Arial" w:cs="Arial"/>
                <w:sz w:val="20"/>
                <w:szCs w:val="20"/>
              </w:rPr>
              <w:t>effort for</w:t>
            </w:r>
            <w:r>
              <w:rPr>
                <w:rFonts w:ascii="Arial" w:hAnsi="Arial" w:cs="Arial"/>
                <w:sz w:val="20"/>
                <w:szCs w:val="20"/>
              </w:rPr>
              <w:t xml:space="preserve"> </w:t>
            </w:r>
            <w:r w:rsidRPr="00777674">
              <w:rPr>
                <w:rFonts w:ascii="Arial" w:hAnsi="Arial" w:cs="Arial"/>
                <w:sz w:val="20"/>
                <w:szCs w:val="20"/>
              </w:rPr>
              <w:t>import/export</w:t>
            </w:r>
          </w:p>
        </w:tc>
        <w:tc>
          <w:tcPr>
            <w:tcW w:w="5103" w:type="dxa"/>
            <w:vAlign w:val="center"/>
          </w:tcPr>
          <w:p w14:paraId="4E0822C1" w14:textId="72090B8A" w:rsidR="00777674" w:rsidRDefault="00777674" w:rsidP="00777674">
            <w:pPr>
              <w:rPr>
                <w:rFonts w:ascii="Arial" w:hAnsi="Arial" w:cs="Arial"/>
                <w:sz w:val="20"/>
                <w:szCs w:val="20"/>
              </w:rPr>
            </w:pPr>
            <w:r>
              <w:rPr>
                <w:rFonts w:ascii="Arial" w:hAnsi="Arial" w:cs="Arial"/>
                <w:sz w:val="20"/>
                <w:szCs w:val="20"/>
              </w:rPr>
              <w:t>54%</w:t>
            </w:r>
          </w:p>
        </w:tc>
      </w:tr>
      <w:tr w:rsidR="00777674" w14:paraId="4E2F4A05" w14:textId="77777777" w:rsidTr="00777674">
        <w:tc>
          <w:tcPr>
            <w:tcW w:w="4531" w:type="dxa"/>
            <w:vAlign w:val="center"/>
          </w:tcPr>
          <w:p w14:paraId="5390DD5A" w14:textId="446DF01C" w:rsidR="00777674" w:rsidRDefault="00777674" w:rsidP="00777674">
            <w:pPr>
              <w:rPr>
                <w:rFonts w:ascii="Arial" w:hAnsi="Arial" w:cs="Arial"/>
                <w:sz w:val="20"/>
                <w:szCs w:val="20"/>
              </w:rPr>
            </w:pPr>
            <w:r w:rsidRPr="00777674">
              <w:rPr>
                <w:rFonts w:ascii="Arial" w:hAnsi="Arial" w:cs="Arial"/>
                <w:sz w:val="20"/>
                <w:szCs w:val="20"/>
              </w:rPr>
              <w:t>More unreliable</w:t>
            </w:r>
            <w:r>
              <w:rPr>
                <w:rFonts w:ascii="Arial" w:hAnsi="Arial" w:cs="Arial"/>
                <w:sz w:val="20"/>
                <w:szCs w:val="20"/>
              </w:rPr>
              <w:t xml:space="preserve"> </w:t>
            </w:r>
            <w:r w:rsidRPr="00777674">
              <w:rPr>
                <w:rFonts w:ascii="Arial" w:hAnsi="Arial" w:cs="Arial"/>
                <w:sz w:val="20"/>
                <w:szCs w:val="20"/>
              </w:rPr>
              <w:t>supply chain</w:t>
            </w:r>
          </w:p>
        </w:tc>
        <w:tc>
          <w:tcPr>
            <w:tcW w:w="5103" w:type="dxa"/>
            <w:vAlign w:val="center"/>
          </w:tcPr>
          <w:p w14:paraId="778897AA" w14:textId="7224F691" w:rsidR="00777674" w:rsidRDefault="00777674" w:rsidP="00777674">
            <w:pPr>
              <w:rPr>
                <w:rFonts w:ascii="Arial" w:hAnsi="Arial" w:cs="Arial"/>
                <w:sz w:val="20"/>
                <w:szCs w:val="20"/>
              </w:rPr>
            </w:pPr>
            <w:r>
              <w:rPr>
                <w:rFonts w:ascii="Arial" w:hAnsi="Arial" w:cs="Arial"/>
                <w:sz w:val="20"/>
                <w:szCs w:val="20"/>
              </w:rPr>
              <w:t>54%</w:t>
            </w:r>
          </w:p>
        </w:tc>
      </w:tr>
      <w:tr w:rsidR="00777674" w14:paraId="72FCC0B0" w14:textId="77777777" w:rsidTr="00777674">
        <w:tc>
          <w:tcPr>
            <w:tcW w:w="4531" w:type="dxa"/>
            <w:vAlign w:val="center"/>
          </w:tcPr>
          <w:p w14:paraId="07378600" w14:textId="3DCC07BC" w:rsidR="00777674" w:rsidRDefault="00777674" w:rsidP="00777674">
            <w:pPr>
              <w:rPr>
                <w:rFonts w:ascii="Arial" w:hAnsi="Arial" w:cs="Arial"/>
                <w:sz w:val="20"/>
                <w:szCs w:val="20"/>
              </w:rPr>
            </w:pPr>
            <w:r w:rsidRPr="00777674">
              <w:rPr>
                <w:rFonts w:ascii="Arial" w:hAnsi="Arial" w:cs="Arial"/>
                <w:sz w:val="20"/>
                <w:szCs w:val="20"/>
              </w:rPr>
              <w:t>Increased import/export costs</w:t>
            </w:r>
          </w:p>
        </w:tc>
        <w:tc>
          <w:tcPr>
            <w:tcW w:w="5103" w:type="dxa"/>
            <w:vAlign w:val="center"/>
          </w:tcPr>
          <w:p w14:paraId="781C5BDA" w14:textId="7BE814BE" w:rsidR="00777674" w:rsidRDefault="00777674" w:rsidP="00777674">
            <w:pPr>
              <w:rPr>
                <w:rFonts w:ascii="Arial" w:hAnsi="Arial" w:cs="Arial"/>
                <w:sz w:val="20"/>
                <w:szCs w:val="20"/>
              </w:rPr>
            </w:pPr>
            <w:r>
              <w:rPr>
                <w:rFonts w:ascii="Arial" w:hAnsi="Arial" w:cs="Arial"/>
                <w:sz w:val="20"/>
                <w:szCs w:val="20"/>
              </w:rPr>
              <w:t>51%</w:t>
            </w:r>
          </w:p>
        </w:tc>
      </w:tr>
      <w:tr w:rsidR="00777674" w14:paraId="46BF6664" w14:textId="77777777" w:rsidTr="00777674">
        <w:tc>
          <w:tcPr>
            <w:tcW w:w="4531" w:type="dxa"/>
            <w:vAlign w:val="center"/>
          </w:tcPr>
          <w:p w14:paraId="52A65994" w14:textId="0C4EC34C" w:rsidR="00777674" w:rsidRPr="00777674" w:rsidRDefault="00777674" w:rsidP="00777674">
            <w:pPr>
              <w:rPr>
                <w:rFonts w:ascii="Arial" w:hAnsi="Arial" w:cs="Arial"/>
                <w:sz w:val="20"/>
                <w:szCs w:val="20"/>
              </w:rPr>
            </w:pPr>
            <w:r>
              <w:rPr>
                <w:rFonts w:ascii="Arial" w:hAnsi="Arial" w:cs="Arial"/>
                <w:sz w:val="20"/>
                <w:szCs w:val="20"/>
              </w:rPr>
              <w:t>Staff shortages</w:t>
            </w:r>
          </w:p>
        </w:tc>
        <w:tc>
          <w:tcPr>
            <w:tcW w:w="5103" w:type="dxa"/>
            <w:vAlign w:val="center"/>
          </w:tcPr>
          <w:p w14:paraId="52C766CB" w14:textId="3EA2C7F9" w:rsidR="00777674" w:rsidRDefault="00777674" w:rsidP="00777674">
            <w:pPr>
              <w:rPr>
                <w:rFonts w:ascii="Arial" w:hAnsi="Arial" w:cs="Arial"/>
                <w:sz w:val="20"/>
                <w:szCs w:val="20"/>
              </w:rPr>
            </w:pPr>
            <w:r>
              <w:rPr>
                <w:rFonts w:ascii="Arial" w:hAnsi="Arial" w:cs="Arial"/>
                <w:sz w:val="20"/>
                <w:szCs w:val="20"/>
              </w:rPr>
              <w:t>49%</w:t>
            </w:r>
          </w:p>
        </w:tc>
      </w:tr>
      <w:tr w:rsidR="00777674" w14:paraId="40161864" w14:textId="77777777" w:rsidTr="00777674">
        <w:tc>
          <w:tcPr>
            <w:tcW w:w="4531" w:type="dxa"/>
            <w:vAlign w:val="center"/>
          </w:tcPr>
          <w:p w14:paraId="59ABB06C" w14:textId="1FD41E05" w:rsidR="00777674" w:rsidRPr="00777674" w:rsidRDefault="00777674" w:rsidP="00777674">
            <w:pPr>
              <w:rPr>
                <w:rFonts w:ascii="Arial" w:hAnsi="Arial" w:cs="Arial"/>
                <w:sz w:val="20"/>
                <w:szCs w:val="20"/>
              </w:rPr>
            </w:pPr>
            <w:r w:rsidRPr="00777674">
              <w:rPr>
                <w:rFonts w:ascii="Arial" w:hAnsi="Arial" w:cs="Arial"/>
                <w:sz w:val="20"/>
                <w:szCs w:val="20"/>
              </w:rPr>
              <w:t>Slower supply</w:t>
            </w:r>
            <w:r>
              <w:rPr>
                <w:rFonts w:ascii="Arial" w:hAnsi="Arial" w:cs="Arial"/>
                <w:sz w:val="20"/>
                <w:szCs w:val="20"/>
              </w:rPr>
              <w:t xml:space="preserve"> </w:t>
            </w:r>
            <w:r w:rsidRPr="00777674">
              <w:rPr>
                <w:rFonts w:ascii="Arial" w:hAnsi="Arial" w:cs="Arial"/>
                <w:sz w:val="20"/>
                <w:szCs w:val="20"/>
              </w:rPr>
              <w:t>chain</w:t>
            </w:r>
          </w:p>
        </w:tc>
        <w:tc>
          <w:tcPr>
            <w:tcW w:w="5103" w:type="dxa"/>
            <w:vAlign w:val="center"/>
          </w:tcPr>
          <w:p w14:paraId="2A9C0FC7" w14:textId="1089B5F3" w:rsidR="00777674" w:rsidRDefault="00777674" w:rsidP="00777674">
            <w:pPr>
              <w:rPr>
                <w:rFonts w:ascii="Arial" w:hAnsi="Arial" w:cs="Arial"/>
                <w:sz w:val="20"/>
                <w:szCs w:val="20"/>
              </w:rPr>
            </w:pPr>
            <w:r>
              <w:rPr>
                <w:rFonts w:ascii="Arial" w:hAnsi="Arial" w:cs="Arial"/>
                <w:sz w:val="20"/>
                <w:szCs w:val="20"/>
              </w:rPr>
              <w:t>47%</w:t>
            </w:r>
          </w:p>
        </w:tc>
      </w:tr>
    </w:tbl>
    <w:p w14:paraId="002E73D6" w14:textId="111E9969" w:rsidR="00777674" w:rsidRDefault="00777674" w:rsidP="00200E6B">
      <w:pPr>
        <w:rPr>
          <w:rFonts w:ascii="Arial" w:hAnsi="Arial" w:cs="Arial"/>
          <w:i/>
          <w:iCs/>
          <w:sz w:val="20"/>
          <w:szCs w:val="20"/>
        </w:rPr>
      </w:pPr>
    </w:p>
    <w:p w14:paraId="02180B9B" w14:textId="4078F2CF" w:rsidR="00777674" w:rsidRDefault="00777674" w:rsidP="00777674">
      <w:pPr>
        <w:rPr>
          <w:rFonts w:ascii="Arial" w:hAnsi="Arial" w:cs="Arial"/>
          <w:sz w:val="20"/>
          <w:szCs w:val="20"/>
        </w:rPr>
      </w:pPr>
      <w:r w:rsidRPr="00777674">
        <w:rPr>
          <w:rFonts w:ascii="Arial" w:hAnsi="Arial" w:cs="Arial"/>
          <w:sz w:val="20"/>
          <w:szCs w:val="20"/>
        </w:rPr>
        <w:t>Over half named import/export administrative efforts as well as supply chain difficulties as a</w:t>
      </w:r>
      <w:r>
        <w:rPr>
          <w:rFonts w:ascii="Arial" w:hAnsi="Arial" w:cs="Arial"/>
          <w:sz w:val="20"/>
          <w:szCs w:val="20"/>
        </w:rPr>
        <w:t xml:space="preserve"> </w:t>
      </w:r>
      <w:r w:rsidRPr="00777674">
        <w:rPr>
          <w:rFonts w:ascii="Arial" w:hAnsi="Arial" w:cs="Arial"/>
          <w:sz w:val="20"/>
          <w:szCs w:val="20"/>
        </w:rPr>
        <w:t>result of Brexit as having the biggest impacts on business. Staff shortages has been an impact felt more by hospitality</w:t>
      </w:r>
      <w:r>
        <w:rPr>
          <w:rFonts w:ascii="Arial" w:hAnsi="Arial" w:cs="Arial"/>
          <w:sz w:val="20"/>
          <w:szCs w:val="20"/>
        </w:rPr>
        <w:t xml:space="preserve"> </w:t>
      </w:r>
      <w:r w:rsidRPr="00777674">
        <w:rPr>
          <w:rFonts w:ascii="Arial" w:hAnsi="Arial" w:cs="Arial"/>
          <w:sz w:val="20"/>
          <w:szCs w:val="20"/>
        </w:rPr>
        <w:t xml:space="preserve">leaders, applicable to almost two thirds </w:t>
      </w:r>
      <w:r>
        <w:rPr>
          <w:rFonts w:ascii="Arial" w:hAnsi="Arial" w:cs="Arial"/>
          <w:sz w:val="20"/>
          <w:szCs w:val="20"/>
        </w:rPr>
        <w:t xml:space="preserve">(63%) </w:t>
      </w:r>
      <w:r w:rsidRPr="00777674">
        <w:rPr>
          <w:rFonts w:ascii="Arial" w:hAnsi="Arial" w:cs="Arial"/>
          <w:sz w:val="20"/>
          <w:szCs w:val="20"/>
        </w:rPr>
        <w:t>of those surveyed. Almost two thirds</w:t>
      </w:r>
      <w:r>
        <w:rPr>
          <w:rFonts w:ascii="Arial" w:hAnsi="Arial" w:cs="Arial"/>
          <w:sz w:val="20"/>
          <w:szCs w:val="20"/>
        </w:rPr>
        <w:t xml:space="preserve"> (63%)</w:t>
      </w:r>
      <w:r w:rsidRPr="00777674">
        <w:rPr>
          <w:rFonts w:ascii="Arial" w:hAnsi="Arial" w:cs="Arial"/>
          <w:sz w:val="20"/>
          <w:szCs w:val="20"/>
        </w:rPr>
        <w:t xml:space="preserve"> of surveyed grocery retail professionals said that</w:t>
      </w:r>
      <w:r>
        <w:rPr>
          <w:rFonts w:ascii="Arial" w:hAnsi="Arial" w:cs="Arial"/>
          <w:sz w:val="20"/>
          <w:szCs w:val="20"/>
        </w:rPr>
        <w:t xml:space="preserve"> </w:t>
      </w:r>
      <w:r w:rsidRPr="00777674">
        <w:rPr>
          <w:rFonts w:ascii="Arial" w:hAnsi="Arial" w:cs="Arial"/>
          <w:sz w:val="20"/>
          <w:szCs w:val="20"/>
        </w:rPr>
        <w:t>increased import/export costs have impacted their business.</w:t>
      </w:r>
    </w:p>
    <w:p w14:paraId="66BDC281" w14:textId="77777777" w:rsidR="00FE2C59" w:rsidRDefault="00FE2C59" w:rsidP="00FE2C59">
      <w:pPr>
        <w:rPr>
          <w:rFonts w:ascii="Arial" w:hAnsi="Arial" w:cs="Arial"/>
          <w:sz w:val="20"/>
          <w:szCs w:val="20"/>
        </w:rPr>
      </w:pPr>
      <w:r>
        <w:rPr>
          <w:rFonts w:ascii="Arial" w:hAnsi="Arial" w:cs="Arial"/>
          <w:sz w:val="20"/>
          <w:szCs w:val="20"/>
        </w:rPr>
        <w:t>Overwhelmingly (75%), UK food and drink leaders believe that the</w:t>
      </w:r>
      <w:r w:rsidRPr="00FE2C59">
        <w:rPr>
          <w:rFonts w:ascii="Arial" w:hAnsi="Arial" w:cs="Arial"/>
          <w:sz w:val="20"/>
          <w:szCs w:val="20"/>
        </w:rPr>
        <w:t xml:space="preserve"> UK government should be supporting businesses on overcoming Brexit</w:t>
      </w:r>
      <w:r>
        <w:rPr>
          <w:rFonts w:ascii="Arial" w:hAnsi="Arial" w:cs="Arial"/>
          <w:sz w:val="20"/>
          <w:szCs w:val="20"/>
        </w:rPr>
        <w:t xml:space="preserve"> </w:t>
      </w:r>
      <w:r w:rsidRPr="00FE2C59">
        <w:rPr>
          <w:rFonts w:ascii="Arial" w:hAnsi="Arial" w:cs="Arial"/>
          <w:sz w:val="20"/>
          <w:szCs w:val="20"/>
        </w:rPr>
        <w:t xml:space="preserve">challenges. </w:t>
      </w:r>
    </w:p>
    <w:p w14:paraId="071AC131" w14:textId="67C1D920" w:rsidR="00FE2C59" w:rsidRDefault="00FE2C59" w:rsidP="00FE2C59">
      <w:pPr>
        <w:rPr>
          <w:rFonts w:ascii="Arial" w:hAnsi="Arial" w:cs="Arial"/>
          <w:i/>
          <w:iCs/>
          <w:sz w:val="20"/>
          <w:szCs w:val="20"/>
        </w:rPr>
      </w:pPr>
      <w:r>
        <w:rPr>
          <w:rFonts w:ascii="Arial" w:hAnsi="Arial" w:cs="Arial"/>
          <w:sz w:val="20"/>
          <w:szCs w:val="20"/>
        </w:rPr>
        <w:t xml:space="preserve">Commenting on the results, Katie Prowse, Senior Insight Manager at Lumina Intelligence said, </w:t>
      </w:r>
      <w:r w:rsidRPr="00081896">
        <w:rPr>
          <w:rFonts w:ascii="Arial" w:hAnsi="Arial" w:cs="Arial"/>
          <w:i/>
          <w:iCs/>
          <w:sz w:val="20"/>
          <w:szCs w:val="20"/>
        </w:rPr>
        <w:t>“</w:t>
      </w:r>
      <w:r>
        <w:rPr>
          <w:rFonts w:ascii="Arial" w:hAnsi="Arial" w:cs="Arial"/>
          <w:i/>
          <w:iCs/>
          <w:sz w:val="20"/>
          <w:szCs w:val="20"/>
        </w:rPr>
        <w:t xml:space="preserve">Brexit, coupled with heavy restrictions on movement caused by the pandemic, has resulted in significant resource challenges for businesses across the UK food and drink industry. Business leaders want to see the government do more to support. </w:t>
      </w:r>
      <w:r w:rsidRPr="00FE2C59">
        <w:rPr>
          <w:rFonts w:ascii="Arial" w:hAnsi="Arial" w:cs="Arial"/>
          <w:i/>
          <w:iCs/>
          <w:sz w:val="20"/>
          <w:szCs w:val="20"/>
        </w:rPr>
        <w:t>Issues surrounding the UK’s departure</w:t>
      </w:r>
      <w:r>
        <w:rPr>
          <w:rFonts w:ascii="Arial" w:hAnsi="Arial" w:cs="Arial"/>
          <w:i/>
          <w:iCs/>
          <w:sz w:val="20"/>
          <w:szCs w:val="20"/>
        </w:rPr>
        <w:t xml:space="preserve"> </w:t>
      </w:r>
      <w:r w:rsidRPr="00FE2C59">
        <w:rPr>
          <w:rFonts w:ascii="Arial" w:hAnsi="Arial" w:cs="Arial"/>
          <w:i/>
          <w:iCs/>
          <w:sz w:val="20"/>
          <w:szCs w:val="20"/>
        </w:rPr>
        <w:t>from the EU including trade deals, processes around imports and exports and EU worker rights in the UK are all the remit of the</w:t>
      </w:r>
      <w:r>
        <w:rPr>
          <w:rFonts w:ascii="Arial" w:hAnsi="Arial" w:cs="Arial"/>
          <w:i/>
          <w:iCs/>
          <w:sz w:val="20"/>
          <w:szCs w:val="20"/>
        </w:rPr>
        <w:t xml:space="preserve"> </w:t>
      </w:r>
      <w:r w:rsidRPr="00FE2C59">
        <w:rPr>
          <w:rFonts w:ascii="Arial" w:hAnsi="Arial" w:cs="Arial"/>
          <w:i/>
          <w:iCs/>
          <w:sz w:val="20"/>
          <w:szCs w:val="20"/>
        </w:rPr>
        <w:t>UK government and so it is vital that it plays a leading role in aiding, communicating and working alongside businesses through</w:t>
      </w:r>
      <w:r>
        <w:rPr>
          <w:rFonts w:ascii="Arial" w:hAnsi="Arial" w:cs="Arial"/>
          <w:i/>
          <w:iCs/>
          <w:sz w:val="20"/>
          <w:szCs w:val="20"/>
        </w:rPr>
        <w:t xml:space="preserve"> </w:t>
      </w:r>
      <w:r w:rsidRPr="00FE2C59">
        <w:rPr>
          <w:rFonts w:ascii="Arial" w:hAnsi="Arial" w:cs="Arial"/>
          <w:i/>
          <w:iCs/>
          <w:sz w:val="20"/>
          <w:szCs w:val="20"/>
        </w:rPr>
        <w:t>the transition.</w:t>
      </w:r>
      <w:r>
        <w:rPr>
          <w:rFonts w:ascii="Arial" w:hAnsi="Arial" w:cs="Arial"/>
          <w:i/>
          <w:iCs/>
          <w:sz w:val="20"/>
          <w:szCs w:val="20"/>
        </w:rPr>
        <w:t>”</w:t>
      </w:r>
    </w:p>
    <w:p w14:paraId="2F31C9E0" w14:textId="65A34E66" w:rsidR="00FE2C59" w:rsidRPr="00FE2C59" w:rsidRDefault="009911F5" w:rsidP="00FE2C59">
      <w:pPr>
        <w:rPr>
          <w:rFonts w:ascii="Arial" w:hAnsi="Arial" w:cs="Arial"/>
          <w:b/>
          <w:bCs/>
          <w:sz w:val="20"/>
          <w:szCs w:val="20"/>
        </w:rPr>
      </w:pPr>
      <w:r>
        <w:rPr>
          <w:rFonts w:ascii="Arial" w:hAnsi="Arial" w:cs="Arial"/>
          <w:b/>
          <w:bCs/>
          <w:sz w:val="20"/>
          <w:szCs w:val="20"/>
        </w:rPr>
        <w:t>Demand for delivery, technology and younger consumers three most important long-term trends</w:t>
      </w:r>
    </w:p>
    <w:p w14:paraId="21A6A9D1" w14:textId="7DBA4806" w:rsidR="00FE2C59" w:rsidRPr="009911F5" w:rsidRDefault="009911F5" w:rsidP="009911F5">
      <w:pPr>
        <w:rPr>
          <w:rFonts w:ascii="Arial" w:hAnsi="Arial" w:cs="Arial"/>
          <w:sz w:val="20"/>
          <w:szCs w:val="20"/>
        </w:rPr>
      </w:pPr>
      <w:r w:rsidRPr="009911F5">
        <w:rPr>
          <w:rFonts w:ascii="Arial" w:hAnsi="Arial" w:cs="Arial"/>
          <w:sz w:val="20"/>
          <w:szCs w:val="20"/>
        </w:rPr>
        <w:t>A shift in lifestyles has meant both the grocery and hospitality market is adjusting to consumer demand for more</w:t>
      </w:r>
      <w:r>
        <w:rPr>
          <w:rFonts w:ascii="Arial" w:hAnsi="Arial" w:cs="Arial"/>
          <w:sz w:val="20"/>
          <w:szCs w:val="20"/>
        </w:rPr>
        <w:t xml:space="preserve"> </w:t>
      </w:r>
      <w:r w:rsidRPr="009911F5">
        <w:rPr>
          <w:rFonts w:ascii="Arial" w:hAnsi="Arial" w:cs="Arial"/>
          <w:sz w:val="20"/>
          <w:szCs w:val="20"/>
        </w:rPr>
        <w:t>delivery and tech</w:t>
      </w:r>
      <w:r w:rsidR="00FB12AF">
        <w:rPr>
          <w:rFonts w:ascii="Arial" w:hAnsi="Arial" w:cs="Arial"/>
          <w:sz w:val="20"/>
          <w:szCs w:val="20"/>
        </w:rPr>
        <w:t>-</w:t>
      </w:r>
      <w:r w:rsidRPr="009911F5">
        <w:rPr>
          <w:rFonts w:ascii="Arial" w:hAnsi="Arial" w:cs="Arial"/>
          <w:sz w:val="20"/>
          <w:szCs w:val="20"/>
        </w:rPr>
        <w:t xml:space="preserve">led solutions. Surveyed grocery and eating out professionals listed </w:t>
      </w:r>
      <w:r w:rsidR="00FB12AF">
        <w:rPr>
          <w:rFonts w:ascii="Arial" w:hAnsi="Arial" w:cs="Arial"/>
          <w:sz w:val="20"/>
          <w:szCs w:val="20"/>
        </w:rPr>
        <w:t xml:space="preserve">the </w:t>
      </w:r>
      <w:r w:rsidRPr="009911F5">
        <w:rPr>
          <w:rFonts w:ascii="Arial" w:hAnsi="Arial" w:cs="Arial"/>
          <w:sz w:val="20"/>
          <w:szCs w:val="20"/>
        </w:rPr>
        <w:t>same top three consumer trends</w:t>
      </w:r>
      <w:r>
        <w:rPr>
          <w:rFonts w:ascii="Arial" w:hAnsi="Arial" w:cs="Arial"/>
          <w:sz w:val="20"/>
          <w:szCs w:val="20"/>
        </w:rPr>
        <w:t xml:space="preserve"> </w:t>
      </w:r>
      <w:r w:rsidRPr="009911F5">
        <w:rPr>
          <w:rFonts w:ascii="Arial" w:hAnsi="Arial" w:cs="Arial"/>
          <w:sz w:val="20"/>
          <w:szCs w:val="20"/>
        </w:rPr>
        <w:t>impacting markets. Eating out professionals were more likely to consider technology as an important driver than grocery retail</w:t>
      </w:r>
      <w:r>
        <w:rPr>
          <w:rFonts w:ascii="Arial" w:hAnsi="Arial" w:cs="Arial"/>
          <w:sz w:val="20"/>
          <w:szCs w:val="20"/>
        </w:rPr>
        <w:t xml:space="preserve"> </w:t>
      </w:r>
      <w:r w:rsidRPr="009911F5">
        <w:rPr>
          <w:rFonts w:ascii="Arial" w:hAnsi="Arial" w:cs="Arial"/>
          <w:sz w:val="20"/>
          <w:szCs w:val="20"/>
        </w:rPr>
        <w:t>professionals with key demographics within key eating out channels including bars and restaurants more likely to be younger.</w:t>
      </w:r>
    </w:p>
    <w:tbl>
      <w:tblPr>
        <w:tblStyle w:val="TableGrid"/>
        <w:tblpPr w:leftFromText="180" w:rightFromText="180" w:vertAnchor="text" w:horzAnchor="margin" w:tblpY="74"/>
        <w:tblW w:w="8926" w:type="dxa"/>
        <w:tblLook w:val="04A0" w:firstRow="1" w:lastRow="0" w:firstColumn="1" w:lastColumn="0" w:noHBand="0" w:noVBand="1"/>
      </w:tblPr>
      <w:tblGrid>
        <w:gridCol w:w="4487"/>
        <w:gridCol w:w="1320"/>
        <w:gridCol w:w="1418"/>
        <w:gridCol w:w="1701"/>
      </w:tblGrid>
      <w:tr w:rsidR="006F3DE8" w14:paraId="72D8108E" w14:textId="1E0B01D9" w:rsidTr="006F3DE8">
        <w:tc>
          <w:tcPr>
            <w:tcW w:w="4487" w:type="dxa"/>
            <w:shd w:val="clear" w:color="auto" w:fill="44546A" w:themeFill="text2"/>
          </w:tcPr>
          <w:p w14:paraId="7FF1C812" w14:textId="23475CC6" w:rsidR="006F3DE8" w:rsidRPr="00A9540F" w:rsidRDefault="006F3DE8" w:rsidP="00C71C4A">
            <w:pPr>
              <w:rPr>
                <w:rFonts w:ascii="Arial" w:hAnsi="Arial" w:cs="Arial"/>
                <w:b/>
                <w:bCs/>
                <w:color w:val="FFFFFF" w:themeColor="background1"/>
                <w:sz w:val="20"/>
                <w:szCs w:val="20"/>
              </w:rPr>
            </w:pPr>
            <w:r>
              <w:rPr>
                <w:rFonts w:ascii="Arial" w:hAnsi="Arial" w:cs="Arial"/>
                <w:b/>
                <w:bCs/>
                <w:color w:val="FFFFFF" w:themeColor="background1"/>
                <w:sz w:val="20"/>
                <w:szCs w:val="20"/>
              </w:rPr>
              <w:t>Top trends</w:t>
            </w:r>
          </w:p>
        </w:tc>
        <w:tc>
          <w:tcPr>
            <w:tcW w:w="1320" w:type="dxa"/>
            <w:shd w:val="clear" w:color="auto" w:fill="44546A" w:themeFill="text2"/>
          </w:tcPr>
          <w:p w14:paraId="799561DB" w14:textId="5C34EA83" w:rsidR="006F3DE8" w:rsidRPr="00A9540F" w:rsidRDefault="006F3DE8" w:rsidP="00C71C4A">
            <w:pPr>
              <w:rPr>
                <w:rFonts w:ascii="Arial" w:hAnsi="Arial" w:cs="Arial"/>
                <w:b/>
                <w:bCs/>
                <w:color w:val="FFFFFF" w:themeColor="background1"/>
                <w:sz w:val="20"/>
                <w:szCs w:val="20"/>
              </w:rPr>
            </w:pPr>
            <w:r>
              <w:rPr>
                <w:rFonts w:ascii="Arial" w:hAnsi="Arial" w:cs="Arial"/>
                <w:b/>
                <w:bCs/>
                <w:color w:val="FFFFFF" w:themeColor="background1"/>
                <w:sz w:val="20"/>
                <w:szCs w:val="20"/>
              </w:rPr>
              <w:t>Overall</w:t>
            </w:r>
          </w:p>
        </w:tc>
        <w:tc>
          <w:tcPr>
            <w:tcW w:w="1418" w:type="dxa"/>
            <w:shd w:val="clear" w:color="auto" w:fill="44546A" w:themeFill="text2"/>
          </w:tcPr>
          <w:p w14:paraId="0CC5993A" w14:textId="5647F7BB" w:rsidR="006F3DE8" w:rsidRDefault="006F3DE8" w:rsidP="00C71C4A">
            <w:pPr>
              <w:rPr>
                <w:rFonts w:ascii="Arial" w:hAnsi="Arial" w:cs="Arial"/>
                <w:b/>
                <w:bCs/>
                <w:color w:val="FFFFFF" w:themeColor="background1"/>
                <w:sz w:val="20"/>
                <w:szCs w:val="20"/>
              </w:rPr>
            </w:pPr>
            <w:r>
              <w:rPr>
                <w:rFonts w:ascii="Arial" w:hAnsi="Arial" w:cs="Arial"/>
                <w:b/>
                <w:bCs/>
                <w:color w:val="FFFFFF" w:themeColor="background1"/>
                <w:sz w:val="20"/>
                <w:szCs w:val="20"/>
              </w:rPr>
              <w:t>Eating Out</w:t>
            </w:r>
          </w:p>
        </w:tc>
        <w:tc>
          <w:tcPr>
            <w:tcW w:w="1701" w:type="dxa"/>
            <w:shd w:val="clear" w:color="auto" w:fill="44546A" w:themeFill="text2"/>
          </w:tcPr>
          <w:p w14:paraId="2752A9EB" w14:textId="4223A26C" w:rsidR="006F3DE8" w:rsidRDefault="006F3DE8" w:rsidP="00C71C4A">
            <w:pPr>
              <w:rPr>
                <w:rFonts w:ascii="Arial" w:hAnsi="Arial" w:cs="Arial"/>
                <w:b/>
                <w:bCs/>
                <w:color w:val="FFFFFF" w:themeColor="background1"/>
                <w:sz w:val="20"/>
                <w:szCs w:val="20"/>
              </w:rPr>
            </w:pPr>
            <w:r>
              <w:rPr>
                <w:rFonts w:ascii="Arial" w:hAnsi="Arial" w:cs="Arial"/>
                <w:b/>
                <w:bCs/>
                <w:color w:val="FFFFFF" w:themeColor="background1"/>
                <w:sz w:val="20"/>
                <w:szCs w:val="20"/>
              </w:rPr>
              <w:t>Grocery Retail</w:t>
            </w:r>
          </w:p>
        </w:tc>
      </w:tr>
      <w:tr w:rsidR="006F3DE8" w14:paraId="6C17AC09" w14:textId="294D514F" w:rsidTr="006F3DE8">
        <w:tc>
          <w:tcPr>
            <w:tcW w:w="4487" w:type="dxa"/>
            <w:vAlign w:val="center"/>
          </w:tcPr>
          <w:p w14:paraId="66001D7B" w14:textId="28897171" w:rsidR="006F3DE8" w:rsidRDefault="006F3DE8" w:rsidP="00C71C4A">
            <w:pPr>
              <w:rPr>
                <w:rFonts w:ascii="Arial" w:hAnsi="Arial" w:cs="Arial"/>
                <w:sz w:val="20"/>
                <w:szCs w:val="20"/>
              </w:rPr>
            </w:pPr>
            <w:r>
              <w:rPr>
                <w:rFonts w:ascii="Arial" w:hAnsi="Arial" w:cs="Arial"/>
                <w:sz w:val="20"/>
                <w:szCs w:val="20"/>
              </w:rPr>
              <w:t>Demand for home delivery</w:t>
            </w:r>
          </w:p>
        </w:tc>
        <w:tc>
          <w:tcPr>
            <w:tcW w:w="1320" w:type="dxa"/>
            <w:vAlign w:val="center"/>
          </w:tcPr>
          <w:p w14:paraId="2D77E84D" w14:textId="1FF944E3" w:rsidR="006F3DE8" w:rsidRDefault="006F3DE8" w:rsidP="00C71C4A">
            <w:pPr>
              <w:rPr>
                <w:rFonts w:ascii="Arial" w:hAnsi="Arial" w:cs="Arial"/>
                <w:sz w:val="20"/>
                <w:szCs w:val="20"/>
              </w:rPr>
            </w:pPr>
            <w:r>
              <w:rPr>
                <w:rFonts w:ascii="Arial" w:hAnsi="Arial" w:cs="Arial"/>
                <w:sz w:val="20"/>
                <w:szCs w:val="20"/>
              </w:rPr>
              <w:t>34%</w:t>
            </w:r>
          </w:p>
        </w:tc>
        <w:tc>
          <w:tcPr>
            <w:tcW w:w="1418" w:type="dxa"/>
          </w:tcPr>
          <w:p w14:paraId="2F941920" w14:textId="31F54CB0" w:rsidR="006F3DE8" w:rsidRDefault="006F3DE8" w:rsidP="00C71C4A">
            <w:pPr>
              <w:rPr>
                <w:rFonts w:ascii="Arial" w:hAnsi="Arial" w:cs="Arial"/>
                <w:sz w:val="20"/>
                <w:szCs w:val="20"/>
              </w:rPr>
            </w:pPr>
            <w:r>
              <w:rPr>
                <w:rFonts w:ascii="Arial" w:hAnsi="Arial" w:cs="Arial"/>
                <w:sz w:val="20"/>
                <w:szCs w:val="20"/>
              </w:rPr>
              <w:t>34%</w:t>
            </w:r>
          </w:p>
        </w:tc>
        <w:tc>
          <w:tcPr>
            <w:tcW w:w="1701" w:type="dxa"/>
          </w:tcPr>
          <w:p w14:paraId="163516FC" w14:textId="395A07CC" w:rsidR="006F3DE8" w:rsidRDefault="006F3DE8" w:rsidP="00C71C4A">
            <w:pPr>
              <w:rPr>
                <w:rFonts w:ascii="Arial" w:hAnsi="Arial" w:cs="Arial"/>
                <w:sz w:val="20"/>
                <w:szCs w:val="20"/>
              </w:rPr>
            </w:pPr>
            <w:r>
              <w:rPr>
                <w:rFonts w:ascii="Arial" w:hAnsi="Arial" w:cs="Arial"/>
                <w:sz w:val="20"/>
                <w:szCs w:val="20"/>
              </w:rPr>
              <w:t>34%</w:t>
            </w:r>
          </w:p>
        </w:tc>
      </w:tr>
      <w:tr w:rsidR="006F3DE8" w14:paraId="5735E724" w14:textId="0DBF8420" w:rsidTr="006F3DE8">
        <w:tc>
          <w:tcPr>
            <w:tcW w:w="4487" w:type="dxa"/>
            <w:vAlign w:val="center"/>
          </w:tcPr>
          <w:p w14:paraId="632FBBD8" w14:textId="7E5AA19F" w:rsidR="006F3DE8" w:rsidRDefault="006F3DE8" w:rsidP="00C71C4A">
            <w:pPr>
              <w:rPr>
                <w:rFonts w:ascii="Arial" w:hAnsi="Arial" w:cs="Arial"/>
                <w:sz w:val="20"/>
                <w:szCs w:val="20"/>
              </w:rPr>
            </w:pPr>
            <w:r>
              <w:rPr>
                <w:rFonts w:ascii="Arial" w:hAnsi="Arial" w:cs="Arial"/>
                <w:sz w:val="20"/>
                <w:szCs w:val="20"/>
              </w:rPr>
              <w:t>Use of internet/mobile tech/apps</w:t>
            </w:r>
          </w:p>
        </w:tc>
        <w:tc>
          <w:tcPr>
            <w:tcW w:w="1320" w:type="dxa"/>
            <w:vAlign w:val="center"/>
          </w:tcPr>
          <w:p w14:paraId="394640EF" w14:textId="4BFDE307" w:rsidR="006F3DE8" w:rsidRDefault="006F3DE8" w:rsidP="00C71C4A">
            <w:pPr>
              <w:rPr>
                <w:rFonts w:ascii="Arial" w:hAnsi="Arial" w:cs="Arial"/>
                <w:sz w:val="20"/>
                <w:szCs w:val="20"/>
              </w:rPr>
            </w:pPr>
            <w:r>
              <w:rPr>
                <w:rFonts w:ascii="Arial" w:hAnsi="Arial" w:cs="Arial"/>
                <w:sz w:val="20"/>
                <w:szCs w:val="20"/>
              </w:rPr>
              <w:t>34%</w:t>
            </w:r>
          </w:p>
        </w:tc>
        <w:tc>
          <w:tcPr>
            <w:tcW w:w="1418" w:type="dxa"/>
          </w:tcPr>
          <w:p w14:paraId="67CAD883" w14:textId="68FF1FAB" w:rsidR="006F3DE8" w:rsidRDefault="006F3DE8" w:rsidP="00C71C4A">
            <w:pPr>
              <w:rPr>
                <w:rFonts w:ascii="Arial" w:hAnsi="Arial" w:cs="Arial"/>
                <w:sz w:val="20"/>
                <w:szCs w:val="20"/>
              </w:rPr>
            </w:pPr>
            <w:r>
              <w:rPr>
                <w:rFonts w:ascii="Arial" w:hAnsi="Arial" w:cs="Arial"/>
                <w:sz w:val="20"/>
                <w:szCs w:val="20"/>
              </w:rPr>
              <w:t>37%</w:t>
            </w:r>
          </w:p>
        </w:tc>
        <w:tc>
          <w:tcPr>
            <w:tcW w:w="1701" w:type="dxa"/>
          </w:tcPr>
          <w:p w14:paraId="073C6ECC" w14:textId="1F21D6D2" w:rsidR="006F3DE8" w:rsidRDefault="006F3DE8" w:rsidP="00C71C4A">
            <w:pPr>
              <w:rPr>
                <w:rFonts w:ascii="Arial" w:hAnsi="Arial" w:cs="Arial"/>
                <w:sz w:val="20"/>
                <w:szCs w:val="20"/>
              </w:rPr>
            </w:pPr>
            <w:r>
              <w:rPr>
                <w:rFonts w:ascii="Arial" w:hAnsi="Arial" w:cs="Arial"/>
                <w:sz w:val="20"/>
                <w:szCs w:val="20"/>
              </w:rPr>
              <w:t>31%</w:t>
            </w:r>
          </w:p>
        </w:tc>
      </w:tr>
      <w:tr w:rsidR="006F3DE8" w14:paraId="70AAE763" w14:textId="3473358E" w:rsidTr="006F3DE8">
        <w:tc>
          <w:tcPr>
            <w:tcW w:w="4487" w:type="dxa"/>
            <w:vAlign w:val="center"/>
          </w:tcPr>
          <w:p w14:paraId="49F13382" w14:textId="2B6AE55B" w:rsidR="006F3DE8" w:rsidRDefault="006F3DE8" w:rsidP="00C71C4A">
            <w:pPr>
              <w:rPr>
                <w:rFonts w:ascii="Arial" w:hAnsi="Arial" w:cs="Arial"/>
                <w:sz w:val="20"/>
                <w:szCs w:val="20"/>
              </w:rPr>
            </w:pPr>
            <w:r>
              <w:rPr>
                <w:rFonts w:ascii="Arial" w:hAnsi="Arial" w:cs="Arial"/>
                <w:sz w:val="20"/>
                <w:szCs w:val="20"/>
              </w:rPr>
              <w:lastRenderedPageBreak/>
              <w:t>Changing behaviour of younger consumers</w:t>
            </w:r>
          </w:p>
        </w:tc>
        <w:tc>
          <w:tcPr>
            <w:tcW w:w="1320" w:type="dxa"/>
            <w:vAlign w:val="center"/>
          </w:tcPr>
          <w:p w14:paraId="4551DD7D" w14:textId="7D8229F1" w:rsidR="006F3DE8" w:rsidRDefault="006F3DE8" w:rsidP="00C71C4A">
            <w:pPr>
              <w:rPr>
                <w:rFonts w:ascii="Arial" w:hAnsi="Arial" w:cs="Arial"/>
                <w:sz w:val="20"/>
                <w:szCs w:val="20"/>
              </w:rPr>
            </w:pPr>
            <w:r>
              <w:rPr>
                <w:rFonts w:ascii="Arial" w:hAnsi="Arial" w:cs="Arial"/>
                <w:sz w:val="20"/>
                <w:szCs w:val="20"/>
              </w:rPr>
              <w:t>29%</w:t>
            </w:r>
          </w:p>
        </w:tc>
        <w:tc>
          <w:tcPr>
            <w:tcW w:w="1418" w:type="dxa"/>
          </w:tcPr>
          <w:p w14:paraId="33BBC889" w14:textId="7489E8E4" w:rsidR="006F3DE8" w:rsidRDefault="006F3DE8" w:rsidP="00C71C4A">
            <w:pPr>
              <w:rPr>
                <w:rFonts w:ascii="Arial" w:hAnsi="Arial" w:cs="Arial"/>
                <w:sz w:val="20"/>
                <w:szCs w:val="20"/>
              </w:rPr>
            </w:pPr>
            <w:r>
              <w:rPr>
                <w:rFonts w:ascii="Arial" w:hAnsi="Arial" w:cs="Arial"/>
                <w:sz w:val="20"/>
                <w:szCs w:val="20"/>
              </w:rPr>
              <w:t>30%</w:t>
            </w:r>
          </w:p>
        </w:tc>
        <w:tc>
          <w:tcPr>
            <w:tcW w:w="1701" w:type="dxa"/>
          </w:tcPr>
          <w:p w14:paraId="42DA5593" w14:textId="0801222A" w:rsidR="006F3DE8" w:rsidRDefault="006F3DE8" w:rsidP="00C71C4A">
            <w:pPr>
              <w:rPr>
                <w:rFonts w:ascii="Arial" w:hAnsi="Arial" w:cs="Arial"/>
                <w:sz w:val="20"/>
                <w:szCs w:val="20"/>
              </w:rPr>
            </w:pPr>
            <w:r>
              <w:rPr>
                <w:rFonts w:ascii="Arial" w:hAnsi="Arial" w:cs="Arial"/>
                <w:sz w:val="20"/>
                <w:szCs w:val="20"/>
              </w:rPr>
              <w:t>28%</w:t>
            </w:r>
          </w:p>
        </w:tc>
      </w:tr>
    </w:tbl>
    <w:p w14:paraId="3BC13B14" w14:textId="77777777" w:rsidR="007C458E" w:rsidRDefault="007C458E" w:rsidP="00FE2C59">
      <w:pPr>
        <w:rPr>
          <w:rFonts w:ascii="Arial" w:hAnsi="Arial" w:cs="Arial"/>
          <w:b/>
          <w:bCs/>
          <w:sz w:val="20"/>
          <w:szCs w:val="20"/>
        </w:rPr>
      </w:pPr>
    </w:p>
    <w:p w14:paraId="793F53FD" w14:textId="67F84D7A" w:rsidR="006F3DE8" w:rsidRPr="00832CB1" w:rsidRDefault="006F3DE8" w:rsidP="00FE2C59">
      <w:pPr>
        <w:rPr>
          <w:rFonts w:ascii="Arial" w:hAnsi="Arial" w:cs="Arial"/>
          <w:b/>
          <w:bCs/>
          <w:sz w:val="20"/>
          <w:szCs w:val="20"/>
        </w:rPr>
      </w:pPr>
      <w:r w:rsidRPr="00832CB1">
        <w:rPr>
          <w:rFonts w:ascii="Arial" w:hAnsi="Arial" w:cs="Arial"/>
          <w:b/>
          <w:bCs/>
          <w:sz w:val="20"/>
          <w:szCs w:val="20"/>
        </w:rPr>
        <w:t>The pandemic was the biggest challen</w:t>
      </w:r>
      <w:r w:rsidR="00832CB1" w:rsidRPr="00832CB1">
        <w:rPr>
          <w:rFonts w:ascii="Arial" w:hAnsi="Arial" w:cs="Arial"/>
          <w:b/>
          <w:bCs/>
          <w:sz w:val="20"/>
          <w:szCs w:val="20"/>
        </w:rPr>
        <w:t>ge in modern history</w:t>
      </w:r>
    </w:p>
    <w:p w14:paraId="3280931E" w14:textId="4A7D2162" w:rsidR="008A4437" w:rsidRDefault="008A4437" w:rsidP="00832CB1">
      <w:pPr>
        <w:rPr>
          <w:rFonts w:ascii="Arial" w:hAnsi="Arial" w:cs="Arial"/>
          <w:sz w:val="20"/>
          <w:szCs w:val="20"/>
        </w:rPr>
      </w:pPr>
      <w:r>
        <w:rPr>
          <w:rFonts w:ascii="Arial" w:hAnsi="Arial" w:cs="Arial"/>
          <w:sz w:val="20"/>
          <w:szCs w:val="20"/>
        </w:rPr>
        <w:t>We have already seen a large number of closures across the hospitality sector due to the pandemic, as well as merger &amp; acquisition activity, which has also been seen across grocery retail. For most business leaders, there is an expectation that this activity increases in the coming 12 months:</w:t>
      </w:r>
    </w:p>
    <w:p w14:paraId="35AFEB36" w14:textId="3C26AB26" w:rsidR="00FE2C59" w:rsidRPr="008A4437" w:rsidRDefault="00832CB1" w:rsidP="008A4437">
      <w:pPr>
        <w:pStyle w:val="ListParagraph"/>
        <w:numPr>
          <w:ilvl w:val="0"/>
          <w:numId w:val="14"/>
        </w:numPr>
        <w:rPr>
          <w:rFonts w:ascii="Arial" w:hAnsi="Arial" w:cs="Arial"/>
          <w:sz w:val="20"/>
          <w:szCs w:val="20"/>
        </w:rPr>
      </w:pPr>
      <w:r w:rsidRPr="008A4437">
        <w:rPr>
          <w:rFonts w:ascii="Arial" w:hAnsi="Arial" w:cs="Arial"/>
          <w:sz w:val="20"/>
          <w:szCs w:val="20"/>
        </w:rPr>
        <w:t>50% of surveyed grocery retail professionals agree that the next 12 months will see an increase in casualties amongst food and drink retailers.</w:t>
      </w:r>
    </w:p>
    <w:p w14:paraId="58DECFDC" w14:textId="4D0AF690" w:rsidR="00832CB1" w:rsidRPr="008A4437" w:rsidRDefault="00832CB1" w:rsidP="008A4437">
      <w:pPr>
        <w:pStyle w:val="ListParagraph"/>
        <w:numPr>
          <w:ilvl w:val="0"/>
          <w:numId w:val="14"/>
        </w:numPr>
        <w:rPr>
          <w:rFonts w:ascii="Arial" w:hAnsi="Arial" w:cs="Arial"/>
          <w:sz w:val="20"/>
          <w:szCs w:val="20"/>
        </w:rPr>
      </w:pPr>
      <w:r w:rsidRPr="008A4437">
        <w:rPr>
          <w:rFonts w:ascii="Arial" w:hAnsi="Arial" w:cs="Arial"/>
          <w:sz w:val="20"/>
          <w:szCs w:val="20"/>
        </w:rPr>
        <w:t>89% of surveyed hospitality business professionals agree or strongly agree that the next 12 months will see an increase in casualties among eating out brands.</w:t>
      </w:r>
    </w:p>
    <w:p w14:paraId="38A1D91D" w14:textId="50DEB79D" w:rsidR="00832CB1" w:rsidRPr="008A4437" w:rsidRDefault="00832CB1" w:rsidP="008A4437">
      <w:pPr>
        <w:pStyle w:val="ListParagraph"/>
        <w:numPr>
          <w:ilvl w:val="0"/>
          <w:numId w:val="14"/>
        </w:numPr>
        <w:rPr>
          <w:rFonts w:ascii="Arial" w:hAnsi="Arial" w:cs="Arial"/>
          <w:sz w:val="20"/>
          <w:szCs w:val="20"/>
        </w:rPr>
      </w:pPr>
      <w:r w:rsidRPr="008A4437">
        <w:rPr>
          <w:rFonts w:ascii="Arial" w:hAnsi="Arial" w:cs="Arial"/>
          <w:sz w:val="20"/>
          <w:szCs w:val="20"/>
        </w:rPr>
        <w:t>88% agree or strongly agree that more merger &amp; acquisition activity is inevitable in the grocery retail market.</w:t>
      </w:r>
    </w:p>
    <w:p w14:paraId="3125523A" w14:textId="16C62E34" w:rsidR="00EF44BF" w:rsidRPr="008A4437" w:rsidRDefault="00832CB1" w:rsidP="008A4437">
      <w:pPr>
        <w:pStyle w:val="ListParagraph"/>
        <w:numPr>
          <w:ilvl w:val="0"/>
          <w:numId w:val="14"/>
        </w:numPr>
        <w:rPr>
          <w:rFonts w:ascii="Arial" w:hAnsi="Arial" w:cs="Arial"/>
          <w:sz w:val="20"/>
          <w:szCs w:val="20"/>
        </w:rPr>
      </w:pPr>
      <w:r w:rsidRPr="008A4437">
        <w:rPr>
          <w:rFonts w:ascii="Arial" w:hAnsi="Arial" w:cs="Arial"/>
          <w:sz w:val="20"/>
          <w:szCs w:val="20"/>
        </w:rPr>
        <w:t>89% agree or strongly agree that more merger &amp; acquisition activity is inevitable in the eating out market.</w:t>
      </w:r>
    </w:p>
    <w:p w14:paraId="722FD62F" w14:textId="1C3DD6F6" w:rsidR="00D033AA" w:rsidRDefault="001C257C" w:rsidP="007446FD">
      <w:pPr>
        <w:rPr>
          <w:rFonts w:ascii="Arial" w:hAnsi="Arial" w:cs="Arial"/>
          <w:i/>
          <w:iCs/>
          <w:sz w:val="20"/>
          <w:szCs w:val="20"/>
        </w:rPr>
      </w:pPr>
      <w:r>
        <w:rPr>
          <w:rFonts w:ascii="Arial" w:hAnsi="Arial" w:cs="Arial"/>
          <w:sz w:val="20"/>
          <w:szCs w:val="20"/>
        </w:rPr>
        <w:t xml:space="preserve">Commenting on the results, </w:t>
      </w:r>
      <w:r w:rsidR="00EF44BF">
        <w:rPr>
          <w:rFonts w:ascii="Arial" w:hAnsi="Arial" w:cs="Arial"/>
          <w:sz w:val="20"/>
          <w:szCs w:val="20"/>
        </w:rPr>
        <w:t>Katie Prowse</w:t>
      </w:r>
      <w:r>
        <w:rPr>
          <w:rFonts w:ascii="Arial" w:hAnsi="Arial" w:cs="Arial"/>
          <w:sz w:val="20"/>
          <w:szCs w:val="20"/>
        </w:rPr>
        <w:t xml:space="preserve">, </w:t>
      </w:r>
      <w:r w:rsidR="00EF44BF">
        <w:rPr>
          <w:rFonts w:ascii="Arial" w:hAnsi="Arial" w:cs="Arial"/>
          <w:sz w:val="20"/>
          <w:szCs w:val="20"/>
        </w:rPr>
        <w:t>Senior Insight Manager a</w:t>
      </w:r>
      <w:r>
        <w:rPr>
          <w:rFonts w:ascii="Arial" w:hAnsi="Arial" w:cs="Arial"/>
          <w:sz w:val="20"/>
          <w:szCs w:val="20"/>
        </w:rPr>
        <w:t>t Lumina Intelligence said,</w:t>
      </w:r>
      <w:r w:rsidR="00C12A06">
        <w:rPr>
          <w:rFonts w:ascii="Arial" w:hAnsi="Arial" w:cs="Arial"/>
          <w:sz w:val="20"/>
          <w:szCs w:val="20"/>
        </w:rPr>
        <w:t xml:space="preserve"> </w:t>
      </w:r>
      <w:r w:rsidR="00C12A06" w:rsidRPr="00081896">
        <w:rPr>
          <w:rFonts w:ascii="Arial" w:hAnsi="Arial" w:cs="Arial"/>
          <w:i/>
          <w:iCs/>
          <w:sz w:val="20"/>
          <w:szCs w:val="20"/>
        </w:rPr>
        <w:t>“</w:t>
      </w:r>
      <w:r w:rsidR="00832CB1">
        <w:rPr>
          <w:rFonts w:ascii="Arial" w:hAnsi="Arial" w:cs="Arial"/>
          <w:i/>
          <w:iCs/>
          <w:sz w:val="20"/>
          <w:szCs w:val="20"/>
        </w:rPr>
        <w:t>Despite restrictions easing, businesses operating in the grocery retailer and eating out markets are less positive about current trading conditions than they were in October 2020. However, businesses are much more positive about future trading conditions</w:t>
      </w:r>
      <w:r w:rsidR="00D033AA">
        <w:rPr>
          <w:rFonts w:ascii="Arial" w:hAnsi="Arial" w:cs="Arial"/>
          <w:i/>
          <w:iCs/>
          <w:sz w:val="20"/>
          <w:szCs w:val="20"/>
        </w:rPr>
        <w:t>.</w:t>
      </w:r>
      <w:r w:rsidR="00832CB1">
        <w:rPr>
          <w:rFonts w:ascii="Arial" w:hAnsi="Arial" w:cs="Arial"/>
          <w:i/>
          <w:iCs/>
          <w:sz w:val="20"/>
          <w:szCs w:val="20"/>
        </w:rPr>
        <w:t>”</w:t>
      </w:r>
    </w:p>
    <w:p w14:paraId="1A8A563B" w14:textId="63435A7C" w:rsidR="00EF44BF" w:rsidRDefault="00832CB1" w:rsidP="00D033AA">
      <w:pPr>
        <w:rPr>
          <w:rFonts w:ascii="Arial" w:hAnsi="Arial" w:cs="Arial"/>
          <w:i/>
          <w:iCs/>
          <w:sz w:val="20"/>
          <w:szCs w:val="20"/>
        </w:rPr>
      </w:pPr>
      <w:r>
        <w:rPr>
          <w:rFonts w:ascii="Arial" w:hAnsi="Arial" w:cs="Arial"/>
          <w:i/>
          <w:iCs/>
          <w:sz w:val="20"/>
          <w:szCs w:val="20"/>
        </w:rPr>
        <w:t xml:space="preserve">“It is clear that business leaders agree with our forecasts that key pandemic-led trends </w:t>
      </w:r>
      <w:r w:rsidR="00AF2D41">
        <w:rPr>
          <w:rFonts w:ascii="Arial" w:hAnsi="Arial" w:cs="Arial"/>
          <w:i/>
          <w:iCs/>
          <w:sz w:val="20"/>
          <w:szCs w:val="20"/>
        </w:rPr>
        <w:t xml:space="preserve">will continue to evolve post-pandemic. </w:t>
      </w:r>
      <w:r w:rsidR="00D033AA">
        <w:rPr>
          <w:rFonts w:ascii="Arial" w:hAnsi="Arial" w:cs="Arial"/>
          <w:i/>
          <w:iCs/>
          <w:sz w:val="20"/>
          <w:szCs w:val="20"/>
        </w:rPr>
        <w:t xml:space="preserve">Consumers have been forced to embrace new things during the pandemic, which have since evolved into </w:t>
      </w:r>
      <w:r w:rsidR="007C458E">
        <w:rPr>
          <w:rFonts w:ascii="Arial" w:hAnsi="Arial" w:cs="Arial"/>
          <w:i/>
          <w:iCs/>
          <w:sz w:val="20"/>
          <w:szCs w:val="20"/>
        </w:rPr>
        <w:t>well-established</w:t>
      </w:r>
      <w:r w:rsidR="00D033AA">
        <w:rPr>
          <w:rFonts w:ascii="Arial" w:hAnsi="Arial" w:cs="Arial"/>
          <w:i/>
          <w:iCs/>
          <w:sz w:val="20"/>
          <w:szCs w:val="20"/>
        </w:rPr>
        <w:t xml:space="preserve"> habits. Delivery and technology have always been key to attracting younger consumers, however the pandemic has resulted in all demographics embracing these trends and truly increased the opportunities available to retailers and operators.”</w:t>
      </w:r>
    </w:p>
    <w:p w14:paraId="37CCD9B8" w14:textId="1C97F7DC"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5DBAA0E3" w14:textId="77777777" w:rsidR="00F05685" w:rsidRPr="00010103" w:rsidRDefault="00F05685" w:rsidP="00F05685">
      <w:pPr>
        <w:rPr>
          <w:rFonts w:ascii="Arial" w:hAnsi="Arial" w:cs="Arial"/>
          <w:sz w:val="20"/>
          <w:szCs w:val="20"/>
        </w:rPr>
      </w:pPr>
      <w:bookmarkStart w:id="0" w:name="_Hlk53387395"/>
      <w:r>
        <w:rPr>
          <w:rFonts w:ascii="Arial" w:hAnsi="Arial" w:cs="Arial"/>
          <w:sz w:val="20"/>
          <w:szCs w:val="20"/>
        </w:rPr>
        <w:t xml:space="preserve">The Lumina Intelligence Top of Mind business leaders survey </w:t>
      </w:r>
      <w:r w:rsidRPr="00010103">
        <w:rPr>
          <w:rFonts w:ascii="Arial" w:hAnsi="Arial" w:cs="Arial"/>
          <w:sz w:val="20"/>
          <w:szCs w:val="20"/>
        </w:rPr>
        <w:t xml:space="preserve">is an online questionnaire targeted at </w:t>
      </w:r>
      <w:r>
        <w:rPr>
          <w:rFonts w:ascii="Arial" w:hAnsi="Arial" w:cs="Arial"/>
          <w:sz w:val="20"/>
          <w:szCs w:val="20"/>
        </w:rPr>
        <w:t>leaders</w:t>
      </w:r>
      <w:r w:rsidRPr="00010103">
        <w:rPr>
          <w:rFonts w:ascii="Arial" w:hAnsi="Arial" w:cs="Arial"/>
          <w:sz w:val="20"/>
          <w:szCs w:val="20"/>
        </w:rPr>
        <w:t xml:space="preserve"> across the eating out and grocery retail</w:t>
      </w:r>
      <w:r>
        <w:rPr>
          <w:rFonts w:ascii="Arial" w:hAnsi="Arial" w:cs="Arial"/>
          <w:sz w:val="20"/>
          <w:szCs w:val="20"/>
        </w:rPr>
        <w:t xml:space="preserve"> </w:t>
      </w:r>
      <w:r w:rsidRPr="00010103">
        <w:rPr>
          <w:rFonts w:ascii="Arial" w:hAnsi="Arial" w:cs="Arial"/>
          <w:sz w:val="20"/>
          <w:szCs w:val="20"/>
        </w:rPr>
        <w:t>markets, focused on understanding the current</w:t>
      </w:r>
      <w:r>
        <w:rPr>
          <w:rFonts w:ascii="Arial" w:hAnsi="Arial" w:cs="Arial"/>
          <w:sz w:val="20"/>
          <w:szCs w:val="20"/>
        </w:rPr>
        <w:t xml:space="preserve"> </w:t>
      </w:r>
      <w:r w:rsidRPr="00010103">
        <w:rPr>
          <w:rFonts w:ascii="Arial" w:hAnsi="Arial" w:cs="Arial"/>
          <w:sz w:val="20"/>
          <w:szCs w:val="20"/>
        </w:rPr>
        <w:t>trading environment, challenges and growth</w:t>
      </w:r>
      <w:r>
        <w:rPr>
          <w:rFonts w:ascii="Arial" w:hAnsi="Arial" w:cs="Arial"/>
          <w:sz w:val="20"/>
          <w:szCs w:val="20"/>
        </w:rPr>
        <w:t xml:space="preserve"> </w:t>
      </w:r>
      <w:r w:rsidRPr="00010103">
        <w:rPr>
          <w:rFonts w:ascii="Arial" w:hAnsi="Arial" w:cs="Arial"/>
          <w:sz w:val="20"/>
          <w:szCs w:val="20"/>
        </w:rPr>
        <w:t>opportunities.</w:t>
      </w:r>
    </w:p>
    <w:p w14:paraId="5BBB1E72" w14:textId="77777777" w:rsidR="00F05685" w:rsidRDefault="00F05685" w:rsidP="00F05685">
      <w:pPr>
        <w:rPr>
          <w:rFonts w:ascii="Arial" w:hAnsi="Arial" w:cs="Arial"/>
          <w:sz w:val="20"/>
          <w:szCs w:val="20"/>
        </w:rPr>
      </w:pPr>
      <w:r w:rsidRPr="00010103">
        <w:rPr>
          <w:rFonts w:ascii="Arial" w:hAnsi="Arial" w:cs="Arial"/>
          <w:sz w:val="20"/>
          <w:szCs w:val="20"/>
        </w:rPr>
        <w:t>It is based on responses from approximately 100</w:t>
      </w:r>
      <w:r>
        <w:rPr>
          <w:rFonts w:ascii="Arial" w:hAnsi="Arial" w:cs="Arial"/>
          <w:sz w:val="20"/>
          <w:szCs w:val="20"/>
        </w:rPr>
        <w:t xml:space="preserve"> </w:t>
      </w:r>
      <w:r w:rsidRPr="00010103">
        <w:rPr>
          <w:rFonts w:ascii="Arial" w:hAnsi="Arial" w:cs="Arial"/>
          <w:sz w:val="20"/>
          <w:szCs w:val="20"/>
        </w:rPr>
        <w:t>leaders working in senior management positions</w:t>
      </w:r>
      <w:r>
        <w:rPr>
          <w:rFonts w:ascii="Arial" w:hAnsi="Arial" w:cs="Arial"/>
          <w:sz w:val="20"/>
          <w:szCs w:val="20"/>
        </w:rPr>
        <w:t xml:space="preserve"> and </w:t>
      </w:r>
      <w:r w:rsidRPr="00010103">
        <w:rPr>
          <w:rFonts w:ascii="Arial" w:hAnsi="Arial" w:cs="Arial"/>
          <w:sz w:val="20"/>
          <w:szCs w:val="20"/>
        </w:rPr>
        <w:t xml:space="preserve">was carried out in </w:t>
      </w:r>
      <w:r>
        <w:rPr>
          <w:rFonts w:ascii="Arial" w:hAnsi="Arial" w:cs="Arial"/>
          <w:sz w:val="20"/>
          <w:szCs w:val="20"/>
        </w:rPr>
        <w:t>June/July</w:t>
      </w:r>
      <w:r w:rsidRPr="00010103">
        <w:rPr>
          <w:rFonts w:ascii="Arial" w:hAnsi="Arial" w:cs="Arial"/>
          <w:sz w:val="20"/>
          <w:szCs w:val="20"/>
        </w:rPr>
        <w:t xml:space="preserve"> 202</w:t>
      </w:r>
      <w:r>
        <w:rPr>
          <w:rFonts w:ascii="Arial" w:hAnsi="Arial" w:cs="Arial"/>
          <w:sz w:val="20"/>
          <w:szCs w:val="20"/>
        </w:rPr>
        <w:t xml:space="preserve">1. Where relevant, data </w:t>
      </w:r>
      <w:r w:rsidRPr="00010103">
        <w:rPr>
          <w:rFonts w:ascii="Arial" w:hAnsi="Arial" w:cs="Arial"/>
          <w:sz w:val="20"/>
          <w:szCs w:val="20"/>
        </w:rPr>
        <w:t xml:space="preserve">has been compared to the </w:t>
      </w:r>
      <w:r>
        <w:rPr>
          <w:rFonts w:ascii="Arial" w:hAnsi="Arial" w:cs="Arial"/>
          <w:sz w:val="20"/>
          <w:szCs w:val="20"/>
        </w:rPr>
        <w:t>previous</w:t>
      </w:r>
      <w:r w:rsidRPr="00010103">
        <w:rPr>
          <w:rFonts w:ascii="Arial" w:hAnsi="Arial" w:cs="Arial"/>
          <w:sz w:val="20"/>
          <w:szCs w:val="20"/>
        </w:rPr>
        <w:t xml:space="preserve"> wave, collected in</w:t>
      </w:r>
      <w:r>
        <w:rPr>
          <w:rFonts w:ascii="Arial" w:hAnsi="Arial" w:cs="Arial"/>
          <w:sz w:val="20"/>
          <w:szCs w:val="20"/>
        </w:rPr>
        <w:t xml:space="preserve"> October</w:t>
      </w:r>
      <w:r w:rsidRPr="00010103">
        <w:rPr>
          <w:rFonts w:ascii="Arial" w:hAnsi="Arial" w:cs="Arial"/>
          <w:sz w:val="20"/>
          <w:szCs w:val="20"/>
        </w:rPr>
        <w:t xml:space="preserve"> 20</w:t>
      </w:r>
      <w:r>
        <w:rPr>
          <w:rFonts w:ascii="Arial" w:hAnsi="Arial" w:cs="Arial"/>
          <w:sz w:val="20"/>
          <w:szCs w:val="20"/>
        </w:rPr>
        <w:t>20</w:t>
      </w:r>
      <w:r w:rsidRPr="00010103">
        <w:rPr>
          <w:rFonts w:ascii="Arial" w:hAnsi="Arial" w:cs="Arial"/>
          <w:sz w:val="20"/>
          <w:szCs w:val="20"/>
        </w:rPr>
        <w:t>.</w:t>
      </w:r>
    </w:p>
    <w:p w14:paraId="348BF087" w14:textId="77777777" w:rsidR="00F05685" w:rsidRPr="00116246" w:rsidRDefault="00F05685" w:rsidP="00F05685">
      <w:pPr>
        <w:rPr>
          <w:rFonts w:ascii="Arial" w:hAnsi="Arial" w:cs="Arial"/>
          <w:sz w:val="20"/>
          <w:szCs w:val="20"/>
        </w:rPr>
      </w:pPr>
      <w:r>
        <w:rPr>
          <w:rFonts w:ascii="Arial" w:hAnsi="Arial" w:cs="Arial"/>
          <w:sz w:val="20"/>
          <w:szCs w:val="20"/>
        </w:rPr>
        <w:t>The report also pulls on the following Lumina Intelligence sources:</w:t>
      </w:r>
    </w:p>
    <w:p w14:paraId="77974135" w14:textId="77777777" w:rsidR="00F05685" w:rsidRDefault="00F05685" w:rsidP="00F05685">
      <w:pPr>
        <w:pStyle w:val="ListParagraph"/>
        <w:numPr>
          <w:ilvl w:val="0"/>
          <w:numId w:val="3"/>
        </w:numPr>
        <w:rPr>
          <w:rFonts w:ascii="Arial" w:hAnsi="Arial" w:cs="Arial"/>
          <w:sz w:val="20"/>
          <w:szCs w:val="20"/>
        </w:rPr>
      </w:pPr>
      <w:r w:rsidRPr="004A719B">
        <w:rPr>
          <w:rFonts w:ascii="Arial" w:hAnsi="Arial" w:cs="Arial"/>
          <w:sz w:val="20"/>
          <w:szCs w:val="20"/>
        </w:rPr>
        <w:t>Lumina Intelligence bespoke survey - explored consumer attitudes around eating out through a nationally representative sample of 1,000 consumers between 03</w:t>
      </w:r>
      <w:r>
        <w:rPr>
          <w:rFonts w:ascii="Arial" w:hAnsi="Arial" w:cs="Arial"/>
          <w:sz w:val="20"/>
          <w:szCs w:val="20"/>
        </w:rPr>
        <w:t>-</w:t>
      </w:r>
      <w:r w:rsidRPr="004A719B">
        <w:rPr>
          <w:rFonts w:ascii="Arial" w:hAnsi="Arial" w:cs="Arial"/>
          <w:sz w:val="20"/>
          <w:szCs w:val="20"/>
        </w:rPr>
        <w:t>07 May 2021</w:t>
      </w:r>
      <w:r>
        <w:rPr>
          <w:rFonts w:ascii="Arial" w:hAnsi="Arial" w:cs="Arial"/>
          <w:sz w:val="20"/>
          <w:szCs w:val="20"/>
        </w:rPr>
        <w:t>.</w:t>
      </w:r>
    </w:p>
    <w:p w14:paraId="00AD8A1D" w14:textId="77777777" w:rsidR="00F05685" w:rsidRDefault="00F05685" w:rsidP="00F05685">
      <w:pPr>
        <w:pStyle w:val="ListParagraph"/>
        <w:numPr>
          <w:ilvl w:val="0"/>
          <w:numId w:val="3"/>
        </w:numPr>
        <w:rPr>
          <w:rFonts w:ascii="Arial" w:hAnsi="Arial" w:cs="Arial"/>
          <w:sz w:val="20"/>
          <w:szCs w:val="20"/>
        </w:rPr>
      </w:pPr>
      <w:r w:rsidRPr="004A719B">
        <w:rPr>
          <w:rFonts w:ascii="Arial" w:hAnsi="Arial" w:cs="Arial"/>
          <w:sz w:val="20"/>
          <w:szCs w:val="20"/>
        </w:rPr>
        <w:t>Convenience Tracking Programme - Interviews with shoppers &amp; non shoppers at an annual sample size of 50,000+ weekly data collection in all major UK convenience groups. Continuous</w:t>
      </w:r>
      <w:r>
        <w:rPr>
          <w:rFonts w:ascii="Arial" w:hAnsi="Arial" w:cs="Arial"/>
          <w:sz w:val="20"/>
          <w:szCs w:val="20"/>
        </w:rPr>
        <w:t xml:space="preserve"> </w:t>
      </w:r>
      <w:r w:rsidRPr="004A719B">
        <w:rPr>
          <w:rFonts w:ascii="Arial" w:hAnsi="Arial" w:cs="Arial"/>
          <w:sz w:val="20"/>
          <w:szCs w:val="20"/>
        </w:rPr>
        <w:t>data captured online and in store</w:t>
      </w:r>
      <w:r>
        <w:rPr>
          <w:rFonts w:ascii="Arial" w:hAnsi="Arial" w:cs="Arial"/>
          <w:sz w:val="20"/>
          <w:szCs w:val="20"/>
        </w:rPr>
        <w:t>.</w:t>
      </w:r>
    </w:p>
    <w:p w14:paraId="1C9837C1" w14:textId="77777777" w:rsidR="00F05685" w:rsidRPr="004A719B" w:rsidRDefault="00F05685" w:rsidP="00F05685">
      <w:pPr>
        <w:pStyle w:val="ListParagraph"/>
        <w:numPr>
          <w:ilvl w:val="0"/>
          <w:numId w:val="3"/>
        </w:numPr>
        <w:rPr>
          <w:rFonts w:ascii="Arial" w:hAnsi="Arial" w:cs="Arial"/>
          <w:sz w:val="20"/>
          <w:szCs w:val="20"/>
        </w:rPr>
      </w:pPr>
      <w:r w:rsidRPr="004A719B">
        <w:rPr>
          <w:rFonts w:ascii="Arial" w:hAnsi="Arial" w:cs="Arial"/>
          <w:sz w:val="20"/>
          <w:szCs w:val="20"/>
        </w:rPr>
        <w:t>On-demand convenience bespoke survey - explored consumer attitudes to convenience delivery and digital solutions through an online study of 3,000 Nat rep UK adults, data collected 14</w:t>
      </w:r>
      <w:r>
        <w:rPr>
          <w:rFonts w:ascii="Arial" w:hAnsi="Arial" w:cs="Arial"/>
          <w:sz w:val="20"/>
          <w:szCs w:val="20"/>
        </w:rPr>
        <w:t>-</w:t>
      </w:r>
      <w:r w:rsidRPr="004A719B">
        <w:rPr>
          <w:rFonts w:ascii="Arial" w:hAnsi="Arial" w:cs="Arial"/>
          <w:sz w:val="20"/>
          <w:szCs w:val="20"/>
        </w:rPr>
        <w:t>26 May 2020</w:t>
      </w:r>
      <w:r>
        <w:rPr>
          <w:rFonts w:ascii="Arial" w:hAnsi="Arial" w:cs="Arial"/>
          <w:sz w:val="20"/>
          <w:szCs w:val="20"/>
        </w:rPr>
        <w:t>.</w:t>
      </w:r>
    </w:p>
    <w:bookmarkEnd w:id="0"/>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C458E"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292"/>
    <w:multiLevelType w:val="hybridMultilevel"/>
    <w:tmpl w:val="5CC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9"/>
  </w:num>
  <w:num w:numId="5">
    <w:abstractNumId w:val="5"/>
  </w:num>
  <w:num w:numId="6">
    <w:abstractNumId w:val="10"/>
  </w:num>
  <w:num w:numId="7">
    <w:abstractNumId w:val="1"/>
  </w:num>
  <w:num w:numId="8">
    <w:abstractNumId w:val="13"/>
  </w:num>
  <w:num w:numId="9">
    <w:abstractNumId w:val="4"/>
  </w:num>
  <w:num w:numId="10">
    <w:abstractNumId w:val="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3FF2"/>
    <w:rsid w:val="000540D1"/>
    <w:rsid w:val="00072404"/>
    <w:rsid w:val="00081896"/>
    <w:rsid w:val="000B63E1"/>
    <w:rsid w:val="000C14C9"/>
    <w:rsid w:val="000D7180"/>
    <w:rsid w:val="000D72C7"/>
    <w:rsid w:val="000F1972"/>
    <w:rsid w:val="000F3329"/>
    <w:rsid w:val="00113451"/>
    <w:rsid w:val="00116246"/>
    <w:rsid w:val="00117161"/>
    <w:rsid w:val="001249C3"/>
    <w:rsid w:val="00130BE2"/>
    <w:rsid w:val="00164610"/>
    <w:rsid w:val="001B2875"/>
    <w:rsid w:val="001C257C"/>
    <w:rsid w:val="001C2E4F"/>
    <w:rsid w:val="001C50C1"/>
    <w:rsid w:val="001C589F"/>
    <w:rsid w:val="001C5B98"/>
    <w:rsid w:val="001C65B6"/>
    <w:rsid w:val="001D612C"/>
    <w:rsid w:val="00200E6B"/>
    <w:rsid w:val="0020205C"/>
    <w:rsid w:val="00214D95"/>
    <w:rsid w:val="00217EE3"/>
    <w:rsid w:val="00261F91"/>
    <w:rsid w:val="002624EC"/>
    <w:rsid w:val="002723AE"/>
    <w:rsid w:val="00284E8B"/>
    <w:rsid w:val="00285BD0"/>
    <w:rsid w:val="002A0F0F"/>
    <w:rsid w:val="002A1E6A"/>
    <w:rsid w:val="002B740C"/>
    <w:rsid w:val="002B747C"/>
    <w:rsid w:val="002F0BB4"/>
    <w:rsid w:val="002F7EAF"/>
    <w:rsid w:val="00302E10"/>
    <w:rsid w:val="00306CA0"/>
    <w:rsid w:val="00332724"/>
    <w:rsid w:val="00345B52"/>
    <w:rsid w:val="00363346"/>
    <w:rsid w:val="0036362F"/>
    <w:rsid w:val="00372E29"/>
    <w:rsid w:val="003C4BB2"/>
    <w:rsid w:val="003E204B"/>
    <w:rsid w:val="003E4324"/>
    <w:rsid w:val="003F621E"/>
    <w:rsid w:val="00407BDB"/>
    <w:rsid w:val="00437579"/>
    <w:rsid w:val="0044412F"/>
    <w:rsid w:val="00470B2A"/>
    <w:rsid w:val="00471332"/>
    <w:rsid w:val="00476F33"/>
    <w:rsid w:val="00493A4C"/>
    <w:rsid w:val="0049573C"/>
    <w:rsid w:val="004B1277"/>
    <w:rsid w:val="004B3902"/>
    <w:rsid w:val="004D23F6"/>
    <w:rsid w:val="004E551E"/>
    <w:rsid w:val="004F0055"/>
    <w:rsid w:val="004F1FF8"/>
    <w:rsid w:val="004F62D9"/>
    <w:rsid w:val="0050116A"/>
    <w:rsid w:val="00511B5A"/>
    <w:rsid w:val="00550B08"/>
    <w:rsid w:val="0055150D"/>
    <w:rsid w:val="00553497"/>
    <w:rsid w:val="00566CAE"/>
    <w:rsid w:val="0058740A"/>
    <w:rsid w:val="005A27EC"/>
    <w:rsid w:val="005B7B3F"/>
    <w:rsid w:val="005C0F44"/>
    <w:rsid w:val="005C522E"/>
    <w:rsid w:val="005C7794"/>
    <w:rsid w:val="005E7052"/>
    <w:rsid w:val="005F6F8C"/>
    <w:rsid w:val="006044E4"/>
    <w:rsid w:val="00604B4A"/>
    <w:rsid w:val="006120E6"/>
    <w:rsid w:val="006247CE"/>
    <w:rsid w:val="0064548D"/>
    <w:rsid w:val="0064772D"/>
    <w:rsid w:val="00664850"/>
    <w:rsid w:val="006A39BA"/>
    <w:rsid w:val="006B6F84"/>
    <w:rsid w:val="006B7F83"/>
    <w:rsid w:val="006D1829"/>
    <w:rsid w:val="006E735F"/>
    <w:rsid w:val="006E79FF"/>
    <w:rsid w:val="006F3DE8"/>
    <w:rsid w:val="007075BD"/>
    <w:rsid w:val="00720ABB"/>
    <w:rsid w:val="007221DF"/>
    <w:rsid w:val="007229E3"/>
    <w:rsid w:val="007446FD"/>
    <w:rsid w:val="00755025"/>
    <w:rsid w:val="0076037A"/>
    <w:rsid w:val="0076415F"/>
    <w:rsid w:val="007716CF"/>
    <w:rsid w:val="00777674"/>
    <w:rsid w:val="007863A3"/>
    <w:rsid w:val="007A49D6"/>
    <w:rsid w:val="007B4F7A"/>
    <w:rsid w:val="007C2184"/>
    <w:rsid w:val="007C458E"/>
    <w:rsid w:val="007F3C85"/>
    <w:rsid w:val="008249B4"/>
    <w:rsid w:val="008276B8"/>
    <w:rsid w:val="00832CB1"/>
    <w:rsid w:val="00846DDB"/>
    <w:rsid w:val="00862CCB"/>
    <w:rsid w:val="008852CE"/>
    <w:rsid w:val="00885322"/>
    <w:rsid w:val="008A4437"/>
    <w:rsid w:val="008A46AD"/>
    <w:rsid w:val="008B3101"/>
    <w:rsid w:val="008D4655"/>
    <w:rsid w:val="008D53DF"/>
    <w:rsid w:val="008E0B7D"/>
    <w:rsid w:val="008E317A"/>
    <w:rsid w:val="008E5A63"/>
    <w:rsid w:val="00906A89"/>
    <w:rsid w:val="0094762B"/>
    <w:rsid w:val="00976FE8"/>
    <w:rsid w:val="009911F5"/>
    <w:rsid w:val="009A17EF"/>
    <w:rsid w:val="009A6775"/>
    <w:rsid w:val="009C5814"/>
    <w:rsid w:val="009C613A"/>
    <w:rsid w:val="009D1543"/>
    <w:rsid w:val="009D7AE0"/>
    <w:rsid w:val="00A154B2"/>
    <w:rsid w:val="00A3135A"/>
    <w:rsid w:val="00A36137"/>
    <w:rsid w:val="00A9540F"/>
    <w:rsid w:val="00A95E5C"/>
    <w:rsid w:val="00AA3F19"/>
    <w:rsid w:val="00AB3399"/>
    <w:rsid w:val="00AD236E"/>
    <w:rsid w:val="00AE1B2B"/>
    <w:rsid w:val="00AE6B2F"/>
    <w:rsid w:val="00AF2D41"/>
    <w:rsid w:val="00B03B5B"/>
    <w:rsid w:val="00B06987"/>
    <w:rsid w:val="00B06B5C"/>
    <w:rsid w:val="00B414CE"/>
    <w:rsid w:val="00B42877"/>
    <w:rsid w:val="00B46E6F"/>
    <w:rsid w:val="00B57E3C"/>
    <w:rsid w:val="00B71D91"/>
    <w:rsid w:val="00B94AC2"/>
    <w:rsid w:val="00BA596C"/>
    <w:rsid w:val="00BA5FFC"/>
    <w:rsid w:val="00BB4747"/>
    <w:rsid w:val="00BC0036"/>
    <w:rsid w:val="00BE00D3"/>
    <w:rsid w:val="00BF4DC8"/>
    <w:rsid w:val="00BF6B5A"/>
    <w:rsid w:val="00C04D48"/>
    <w:rsid w:val="00C108CE"/>
    <w:rsid w:val="00C12A06"/>
    <w:rsid w:val="00C16ADB"/>
    <w:rsid w:val="00C270FD"/>
    <w:rsid w:val="00C273A6"/>
    <w:rsid w:val="00C30C1F"/>
    <w:rsid w:val="00C51532"/>
    <w:rsid w:val="00C545F0"/>
    <w:rsid w:val="00C77C17"/>
    <w:rsid w:val="00C86028"/>
    <w:rsid w:val="00CB101B"/>
    <w:rsid w:val="00CB38ED"/>
    <w:rsid w:val="00CB627F"/>
    <w:rsid w:val="00CE6B8A"/>
    <w:rsid w:val="00D033AA"/>
    <w:rsid w:val="00D07C64"/>
    <w:rsid w:val="00D25202"/>
    <w:rsid w:val="00D30793"/>
    <w:rsid w:val="00D308D1"/>
    <w:rsid w:val="00D36AF3"/>
    <w:rsid w:val="00D465BC"/>
    <w:rsid w:val="00D81C35"/>
    <w:rsid w:val="00DA3FA1"/>
    <w:rsid w:val="00DB2AFC"/>
    <w:rsid w:val="00DD5EEB"/>
    <w:rsid w:val="00E214AC"/>
    <w:rsid w:val="00E32300"/>
    <w:rsid w:val="00E362CA"/>
    <w:rsid w:val="00E56A95"/>
    <w:rsid w:val="00E6199F"/>
    <w:rsid w:val="00E64F14"/>
    <w:rsid w:val="00E72427"/>
    <w:rsid w:val="00E734FF"/>
    <w:rsid w:val="00E956AE"/>
    <w:rsid w:val="00E975B9"/>
    <w:rsid w:val="00EA1B39"/>
    <w:rsid w:val="00EB6EF0"/>
    <w:rsid w:val="00EC455C"/>
    <w:rsid w:val="00ED0369"/>
    <w:rsid w:val="00ED2C5E"/>
    <w:rsid w:val="00ED3ABD"/>
    <w:rsid w:val="00EE59D7"/>
    <w:rsid w:val="00EF44BF"/>
    <w:rsid w:val="00F05685"/>
    <w:rsid w:val="00F1652C"/>
    <w:rsid w:val="00F16921"/>
    <w:rsid w:val="00F245D4"/>
    <w:rsid w:val="00F30CBB"/>
    <w:rsid w:val="00F43C71"/>
    <w:rsid w:val="00F560F8"/>
    <w:rsid w:val="00FB12AF"/>
    <w:rsid w:val="00FB725D"/>
    <w:rsid w:val="00FB7D7E"/>
    <w:rsid w:val="00FC1A9F"/>
    <w:rsid w:val="00FE2C59"/>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7</cp:revision>
  <dcterms:created xsi:type="dcterms:W3CDTF">2021-07-30T07:46:00Z</dcterms:created>
  <dcterms:modified xsi:type="dcterms:W3CDTF">2021-08-02T07:37:00Z</dcterms:modified>
</cp:coreProperties>
</file>