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0653F1"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9E4D68C" w:rsidR="00ED3ABD" w:rsidRPr="00550B08" w:rsidRDefault="0020205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690537">
        <w:rPr>
          <w:rStyle w:val="Hyperlink"/>
          <w:rFonts w:ascii="Arial" w:hAnsi="Arial" w:cs="Arial"/>
          <w:b/>
          <w:bCs/>
          <w:color w:val="505050"/>
          <w:sz w:val="18"/>
          <w:szCs w:val="18"/>
          <w:u w:val="none"/>
        </w:rPr>
        <w:t>1</w:t>
      </w:r>
      <w:r>
        <w:rPr>
          <w:rStyle w:val="Hyperlink"/>
          <w:rFonts w:ascii="Arial" w:hAnsi="Arial" w:cs="Arial"/>
          <w:b/>
          <w:bCs/>
          <w:color w:val="505050"/>
          <w:sz w:val="18"/>
          <w:szCs w:val="18"/>
          <w:u w:val="none"/>
        </w:rPr>
        <w:t xml:space="preserve"> </w:t>
      </w:r>
      <w:r w:rsidR="000653F1">
        <w:rPr>
          <w:rStyle w:val="Hyperlink"/>
          <w:rFonts w:ascii="Arial" w:hAnsi="Arial" w:cs="Arial"/>
          <w:b/>
          <w:bCs/>
          <w:color w:val="505050"/>
          <w:sz w:val="18"/>
          <w:szCs w:val="18"/>
          <w:u w:val="none"/>
        </w:rPr>
        <w:t>September</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7B7A2B5C" w:rsidR="00DD5EEB" w:rsidRDefault="007F071A" w:rsidP="00DB2AFC">
      <w:pPr>
        <w:jc w:val="center"/>
        <w:rPr>
          <w:rFonts w:ascii="Arial" w:hAnsi="Arial" w:cs="Arial"/>
          <w:b/>
          <w:bCs/>
          <w:sz w:val="32"/>
          <w:szCs w:val="32"/>
        </w:rPr>
      </w:pPr>
      <w:r>
        <w:rPr>
          <w:rFonts w:ascii="Arial" w:hAnsi="Arial" w:cs="Arial"/>
          <w:b/>
          <w:bCs/>
          <w:sz w:val="32"/>
          <w:szCs w:val="32"/>
        </w:rPr>
        <w:t>Easing restrictions see</w:t>
      </w:r>
      <w:r w:rsidR="000375DF">
        <w:rPr>
          <w:rFonts w:ascii="Arial" w:hAnsi="Arial" w:cs="Arial"/>
          <w:b/>
          <w:bCs/>
          <w:sz w:val="32"/>
          <w:szCs w:val="32"/>
        </w:rPr>
        <w:t>s average</w:t>
      </w:r>
      <w:r>
        <w:rPr>
          <w:rFonts w:ascii="Arial" w:hAnsi="Arial" w:cs="Arial"/>
          <w:b/>
          <w:bCs/>
          <w:sz w:val="32"/>
          <w:szCs w:val="32"/>
        </w:rPr>
        <w:t xml:space="preserve"> spend </w:t>
      </w:r>
      <w:r w:rsidR="000375DF">
        <w:rPr>
          <w:rFonts w:ascii="Arial" w:hAnsi="Arial" w:cs="Arial"/>
          <w:b/>
          <w:bCs/>
          <w:sz w:val="32"/>
          <w:szCs w:val="32"/>
        </w:rPr>
        <w:t>in</w:t>
      </w:r>
      <w:r>
        <w:rPr>
          <w:rFonts w:ascii="Arial" w:hAnsi="Arial" w:cs="Arial"/>
          <w:b/>
          <w:bCs/>
          <w:sz w:val="32"/>
          <w:szCs w:val="32"/>
        </w:rPr>
        <w:t xml:space="preserve"> hospitality</w:t>
      </w:r>
      <w:r w:rsidR="000375DF">
        <w:rPr>
          <w:rFonts w:ascii="Arial" w:hAnsi="Arial" w:cs="Arial"/>
          <w:b/>
          <w:bCs/>
          <w:sz w:val="32"/>
          <w:szCs w:val="32"/>
        </w:rPr>
        <w:t xml:space="preserve"> increase</w:t>
      </w:r>
    </w:p>
    <w:p w14:paraId="73FE519C" w14:textId="0E91C97D" w:rsidR="000375DF"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Lumina Intelligence UK </w:t>
      </w:r>
      <w:r w:rsidR="00E975B9">
        <w:rPr>
          <w:rFonts w:ascii="Arial" w:hAnsi="Arial" w:cs="Arial"/>
          <w:sz w:val="20"/>
          <w:szCs w:val="20"/>
        </w:rPr>
        <w:t xml:space="preserve">Eating Out Market Report 2021, </w:t>
      </w:r>
      <w:r w:rsidR="007F071A">
        <w:rPr>
          <w:rFonts w:ascii="Arial" w:hAnsi="Arial" w:cs="Arial"/>
          <w:sz w:val="20"/>
          <w:szCs w:val="20"/>
        </w:rPr>
        <w:t xml:space="preserve">in the 12 WE 11.07.2021, </w:t>
      </w:r>
      <w:r w:rsidR="000375DF">
        <w:rPr>
          <w:rFonts w:ascii="Arial" w:hAnsi="Arial" w:cs="Arial"/>
          <w:sz w:val="20"/>
          <w:szCs w:val="20"/>
        </w:rPr>
        <w:t>average spend per consumer per visit increased +3.9%</w:t>
      </w:r>
      <w:r w:rsidR="00EC1035">
        <w:rPr>
          <w:rFonts w:ascii="Arial" w:hAnsi="Arial" w:cs="Arial"/>
          <w:sz w:val="20"/>
          <w:szCs w:val="20"/>
        </w:rPr>
        <w:t xml:space="preserve"> from £9.01 to £9.36.</w:t>
      </w:r>
    </w:p>
    <w:p w14:paraId="08B69055" w14:textId="3442B702" w:rsidR="007F071A" w:rsidRDefault="00EC1035" w:rsidP="008E5A63">
      <w:pPr>
        <w:rPr>
          <w:rFonts w:ascii="Arial" w:hAnsi="Arial" w:cs="Arial"/>
          <w:sz w:val="20"/>
          <w:szCs w:val="20"/>
        </w:rPr>
      </w:pPr>
      <w:r w:rsidRPr="00EC1035">
        <w:rPr>
          <w:rFonts w:ascii="Arial" w:hAnsi="Arial" w:cs="Arial"/>
          <w:sz w:val="20"/>
          <w:szCs w:val="20"/>
        </w:rPr>
        <w:t xml:space="preserve">Over half of the UK adult population had an eating or drinking out occasion as restrictions eased across the UK during July. </w:t>
      </w:r>
      <w:r>
        <w:rPr>
          <w:rFonts w:ascii="Arial" w:hAnsi="Arial" w:cs="Arial"/>
          <w:sz w:val="20"/>
          <w:szCs w:val="20"/>
        </w:rPr>
        <w:t xml:space="preserve">The </w:t>
      </w:r>
      <w:r w:rsidRPr="00EC1035">
        <w:rPr>
          <w:rFonts w:ascii="Arial" w:hAnsi="Arial" w:cs="Arial"/>
          <w:sz w:val="20"/>
          <w:szCs w:val="20"/>
        </w:rPr>
        <w:t>proportion of UK consumers who had an eating out occasion increased to a peak of 52.2% over the 12 weeks to the 11 July.</w:t>
      </w:r>
    </w:p>
    <w:p w14:paraId="17B38D44" w14:textId="03DEDACF" w:rsidR="00EC1035" w:rsidRDefault="00EC1035" w:rsidP="00EC1035">
      <w:pPr>
        <w:rPr>
          <w:rFonts w:ascii="Arial" w:hAnsi="Arial" w:cs="Arial"/>
          <w:sz w:val="20"/>
          <w:szCs w:val="20"/>
        </w:rPr>
      </w:pPr>
      <w:r>
        <w:rPr>
          <w:rFonts w:ascii="Arial" w:hAnsi="Arial" w:cs="Arial"/>
          <w:sz w:val="20"/>
          <w:szCs w:val="20"/>
        </w:rPr>
        <w:t xml:space="preserve">Increased spend comes as </w:t>
      </w:r>
      <w:r w:rsidRPr="00EC1035">
        <w:rPr>
          <w:rFonts w:ascii="Arial" w:hAnsi="Arial" w:cs="Arial"/>
          <w:sz w:val="20"/>
          <w:szCs w:val="20"/>
        </w:rPr>
        <w:t>ending 11 July as higher spend</w:t>
      </w:r>
      <w:r>
        <w:rPr>
          <w:rFonts w:ascii="Arial" w:hAnsi="Arial" w:cs="Arial"/>
          <w:sz w:val="20"/>
          <w:szCs w:val="20"/>
        </w:rPr>
        <w:t xml:space="preserve"> </w:t>
      </w:r>
      <w:r w:rsidRPr="00EC1035">
        <w:rPr>
          <w:rFonts w:ascii="Arial" w:hAnsi="Arial" w:cs="Arial"/>
          <w:sz w:val="20"/>
          <w:szCs w:val="20"/>
        </w:rPr>
        <w:t>channels including restaurants and</w:t>
      </w:r>
      <w:r>
        <w:rPr>
          <w:rFonts w:ascii="Arial" w:hAnsi="Arial" w:cs="Arial"/>
          <w:sz w:val="20"/>
          <w:szCs w:val="20"/>
        </w:rPr>
        <w:t xml:space="preserve"> </w:t>
      </w:r>
      <w:r w:rsidRPr="00EC1035">
        <w:rPr>
          <w:rFonts w:ascii="Arial" w:hAnsi="Arial" w:cs="Arial"/>
          <w:sz w:val="20"/>
          <w:szCs w:val="20"/>
        </w:rPr>
        <w:t>pubs &amp; bars grew share.</w:t>
      </w:r>
      <w:r>
        <w:rPr>
          <w:rFonts w:ascii="Arial" w:hAnsi="Arial" w:cs="Arial"/>
          <w:sz w:val="20"/>
          <w:szCs w:val="20"/>
        </w:rPr>
        <w:t xml:space="preserve"> Versus the 12 WE 18.04.2021, pubs and bars saw its share of UK eating out occasions rise from 3.8% to 12.5% and restaurants grew from 9.7% to 11.5%. In contrast, </w:t>
      </w:r>
      <w:r w:rsidRPr="00EC1035">
        <w:rPr>
          <w:rFonts w:ascii="Arial" w:hAnsi="Arial" w:cs="Arial"/>
          <w:sz w:val="20"/>
          <w:szCs w:val="20"/>
        </w:rPr>
        <w:t>Quick service restaurants</w:t>
      </w:r>
      <w:r>
        <w:rPr>
          <w:rFonts w:ascii="Arial" w:hAnsi="Arial" w:cs="Arial"/>
          <w:sz w:val="20"/>
          <w:szCs w:val="20"/>
        </w:rPr>
        <w:t xml:space="preserve"> </w:t>
      </w:r>
      <w:r w:rsidRPr="00EC1035">
        <w:rPr>
          <w:rFonts w:ascii="Arial" w:hAnsi="Arial" w:cs="Arial"/>
          <w:sz w:val="20"/>
          <w:szCs w:val="20"/>
        </w:rPr>
        <w:t xml:space="preserve">decreased in channel share by </w:t>
      </w:r>
      <w:r>
        <w:rPr>
          <w:rFonts w:ascii="Arial" w:hAnsi="Arial" w:cs="Arial"/>
          <w:sz w:val="20"/>
          <w:szCs w:val="20"/>
        </w:rPr>
        <w:t>-</w:t>
      </w:r>
      <w:r w:rsidRPr="00EC1035">
        <w:rPr>
          <w:rFonts w:ascii="Arial" w:hAnsi="Arial" w:cs="Arial"/>
          <w:sz w:val="20"/>
          <w:szCs w:val="20"/>
        </w:rPr>
        <w:t>10ppts</w:t>
      </w:r>
      <w:r>
        <w:rPr>
          <w:rFonts w:ascii="Arial" w:hAnsi="Arial" w:cs="Arial"/>
          <w:sz w:val="20"/>
          <w:szCs w:val="20"/>
        </w:rPr>
        <w:t xml:space="preserve"> – from 41.3% to 30.9%</w:t>
      </w:r>
      <w:r w:rsidRPr="00EC1035">
        <w:rPr>
          <w:rFonts w:ascii="Arial" w:hAnsi="Arial" w:cs="Arial"/>
          <w:sz w:val="20"/>
          <w:szCs w:val="20"/>
        </w:rPr>
        <w:t>.</w:t>
      </w:r>
      <w:r>
        <w:rPr>
          <w:rFonts w:ascii="Arial" w:hAnsi="Arial" w:cs="Arial"/>
          <w:sz w:val="20"/>
          <w:szCs w:val="20"/>
        </w:rPr>
        <w:t xml:space="preserve"> This comes as o</w:t>
      </w:r>
      <w:r w:rsidRPr="00EC1035">
        <w:rPr>
          <w:rFonts w:ascii="Arial" w:hAnsi="Arial" w:cs="Arial"/>
          <w:sz w:val="20"/>
          <w:szCs w:val="20"/>
        </w:rPr>
        <w:t>n</w:t>
      </w:r>
      <w:r>
        <w:rPr>
          <w:rFonts w:ascii="Arial" w:hAnsi="Arial" w:cs="Arial"/>
          <w:sz w:val="20"/>
          <w:szCs w:val="20"/>
        </w:rPr>
        <w:t>-</w:t>
      </w:r>
      <w:r w:rsidRPr="00EC1035">
        <w:rPr>
          <w:rFonts w:ascii="Arial" w:hAnsi="Arial" w:cs="Arial"/>
          <w:sz w:val="20"/>
          <w:szCs w:val="20"/>
        </w:rPr>
        <w:t>premise purchasing was no</w:t>
      </w:r>
      <w:r>
        <w:rPr>
          <w:rFonts w:ascii="Arial" w:hAnsi="Arial" w:cs="Arial"/>
          <w:sz w:val="20"/>
          <w:szCs w:val="20"/>
        </w:rPr>
        <w:t xml:space="preserve"> </w:t>
      </w:r>
      <w:r w:rsidRPr="00EC1035">
        <w:rPr>
          <w:rFonts w:ascii="Arial" w:hAnsi="Arial" w:cs="Arial"/>
          <w:sz w:val="20"/>
          <w:szCs w:val="20"/>
        </w:rPr>
        <w:t>longer limited to takeaway as</w:t>
      </w:r>
      <w:r>
        <w:rPr>
          <w:rFonts w:ascii="Arial" w:hAnsi="Arial" w:cs="Arial"/>
          <w:sz w:val="20"/>
          <w:szCs w:val="20"/>
        </w:rPr>
        <w:t xml:space="preserve"> </w:t>
      </w:r>
      <w:r w:rsidRPr="00EC1035">
        <w:rPr>
          <w:rFonts w:ascii="Arial" w:hAnsi="Arial" w:cs="Arial"/>
          <w:sz w:val="20"/>
          <w:szCs w:val="20"/>
        </w:rPr>
        <w:t>lockdown restrictions were eased.</w:t>
      </w:r>
    </w:p>
    <w:p w14:paraId="177CE1C3" w14:textId="12FD7B55" w:rsidR="00EC1035" w:rsidRDefault="00292207" w:rsidP="00292207">
      <w:pPr>
        <w:rPr>
          <w:rFonts w:ascii="Arial" w:hAnsi="Arial" w:cs="Arial"/>
          <w:sz w:val="20"/>
          <w:szCs w:val="20"/>
        </w:rPr>
      </w:pPr>
      <w:r>
        <w:rPr>
          <w:rFonts w:ascii="Arial" w:hAnsi="Arial" w:cs="Arial"/>
          <w:sz w:val="20"/>
          <w:szCs w:val="20"/>
        </w:rPr>
        <w:t xml:space="preserve">Restrictions easing also had a notable impact on delivery and click &amp; collect.  </w:t>
      </w:r>
      <w:r w:rsidRPr="00292207">
        <w:rPr>
          <w:rFonts w:ascii="Arial" w:hAnsi="Arial" w:cs="Arial"/>
          <w:sz w:val="20"/>
          <w:szCs w:val="20"/>
        </w:rPr>
        <w:t>Delivery declined in share by 9.8ppts</w:t>
      </w:r>
      <w:r>
        <w:rPr>
          <w:rFonts w:ascii="Arial" w:hAnsi="Arial" w:cs="Arial"/>
          <w:sz w:val="20"/>
          <w:szCs w:val="20"/>
        </w:rPr>
        <w:t xml:space="preserve"> </w:t>
      </w:r>
      <w:r w:rsidRPr="00292207">
        <w:rPr>
          <w:rFonts w:ascii="Arial" w:hAnsi="Arial" w:cs="Arial"/>
          <w:sz w:val="20"/>
          <w:szCs w:val="20"/>
        </w:rPr>
        <w:t>and Click &amp; Collect declined by</w:t>
      </w:r>
      <w:r>
        <w:rPr>
          <w:rFonts w:ascii="Arial" w:hAnsi="Arial" w:cs="Arial"/>
          <w:sz w:val="20"/>
          <w:szCs w:val="20"/>
        </w:rPr>
        <w:t xml:space="preserve"> </w:t>
      </w:r>
      <w:r w:rsidRPr="00292207">
        <w:rPr>
          <w:rFonts w:ascii="Arial" w:hAnsi="Arial" w:cs="Arial"/>
          <w:sz w:val="20"/>
          <w:szCs w:val="20"/>
        </w:rPr>
        <w:t>5.7ppts as more consumers ate and</w:t>
      </w:r>
      <w:r>
        <w:rPr>
          <w:rFonts w:ascii="Arial" w:hAnsi="Arial" w:cs="Arial"/>
          <w:sz w:val="20"/>
          <w:szCs w:val="20"/>
        </w:rPr>
        <w:t xml:space="preserve"> </w:t>
      </w:r>
      <w:r w:rsidRPr="00292207">
        <w:rPr>
          <w:rFonts w:ascii="Arial" w:hAnsi="Arial" w:cs="Arial"/>
          <w:sz w:val="20"/>
          <w:szCs w:val="20"/>
        </w:rPr>
        <w:t>drank out of home with increasing</w:t>
      </w:r>
      <w:r>
        <w:rPr>
          <w:rFonts w:ascii="Arial" w:hAnsi="Arial" w:cs="Arial"/>
          <w:sz w:val="20"/>
          <w:szCs w:val="20"/>
        </w:rPr>
        <w:t xml:space="preserve"> </w:t>
      </w:r>
      <w:r w:rsidRPr="00292207">
        <w:rPr>
          <w:rFonts w:ascii="Arial" w:hAnsi="Arial" w:cs="Arial"/>
          <w:sz w:val="20"/>
          <w:szCs w:val="20"/>
        </w:rPr>
        <w:t>consumer confidence and sporting</w:t>
      </w:r>
      <w:r>
        <w:rPr>
          <w:rFonts w:ascii="Arial" w:hAnsi="Arial" w:cs="Arial"/>
          <w:sz w:val="20"/>
          <w:szCs w:val="20"/>
        </w:rPr>
        <w:t xml:space="preserve"> </w:t>
      </w:r>
      <w:r w:rsidRPr="00292207">
        <w:rPr>
          <w:rFonts w:ascii="Arial" w:hAnsi="Arial" w:cs="Arial"/>
          <w:sz w:val="20"/>
          <w:szCs w:val="20"/>
        </w:rPr>
        <w:t>events including the EUROs</w:t>
      </w:r>
      <w:r>
        <w:rPr>
          <w:rFonts w:ascii="Arial" w:hAnsi="Arial" w:cs="Arial"/>
          <w:sz w:val="20"/>
          <w:szCs w:val="20"/>
        </w:rPr>
        <w:t xml:space="preserve"> </w:t>
      </w:r>
      <w:r w:rsidRPr="00292207">
        <w:rPr>
          <w:rFonts w:ascii="Arial" w:hAnsi="Arial" w:cs="Arial"/>
          <w:sz w:val="20"/>
          <w:szCs w:val="20"/>
        </w:rPr>
        <w:t>bolstering occasions.</w:t>
      </w:r>
    </w:p>
    <w:p w14:paraId="217134DC" w14:textId="0CCCD6FA" w:rsidR="00292207" w:rsidRDefault="00292207" w:rsidP="00292207">
      <w:pPr>
        <w:rPr>
          <w:rFonts w:ascii="Arial" w:hAnsi="Arial" w:cs="Arial"/>
          <w:sz w:val="20"/>
          <w:szCs w:val="20"/>
        </w:rPr>
      </w:pPr>
      <w:r>
        <w:rPr>
          <w:rFonts w:ascii="Arial" w:hAnsi="Arial" w:cs="Arial"/>
          <w:sz w:val="20"/>
          <w:szCs w:val="20"/>
        </w:rPr>
        <w:t>The report also highlighted that m</w:t>
      </w:r>
      <w:r w:rsidRPr="00292207">
        <w:rPr>
          <w:rFonts w:ascii="Arial" w:hAnsi="Arial" w:cs="Arial"/>
          <w:sz w:val="20"/>
          <w:szCs w:val="20"/>
        </w:rPr>
        <w:t>ore consumers are identifying as non-drinkers (13%), with many choosing to opt for low to no alcohol beverages where possible</w:t>
      </w:r>
      <w:r>
        <w:rPr>
          <w:rFonts w:ascii="Arial" w:hAnsi="Arial" w:cs="Arial"/>
          <w:sz w:val="20"/>
          <w:szCs w:val="20"/>
        </w:rPr>
        <w:t xml:space="preserve"> and more</w:t>
      </w:r>
      <w:r w:rsidRPr="00292207">
        <w:rPr>
          <w:rFonts w:ascii="Arial" w:hAnsi="Arial" w:cs="Arial"/>
          <w:sz w:val="20"/>
          <w:szCs w:val="20"/>
        </w:rPr>
        <w:t xml:space="preserve"> identified as flexitarian or vegetarian in the latest quarter (37% in total). A higher proportion also identify as gluten free and dairy free (almost 7%).</w:t>
      </w:r>
    </w:p>
    <w:p w14:paraId="2BFEEFEA" w14:textId="34DF7FDE" w:rsidR="00292207" w:rsidRDefault="001C257C" w:rsidP="008E5A63">
      <w:pPr>
        <w:rPr>
          <w:rFonts w:ascii="Arial" w:hAnsi="Arial" w:cs="Arial"/>
          <w:i/>
          <w:iCs/>
          <w:sz w:val="20"/>
          <w:szCs w:val="20"/>
        </w:rPr>
      </w:pPr>
      <w:r>
        <w:rPr>
          <w:rFonts w:ascii="Arial" w:hAnsi="Arial" w:cs="Arial"/>
          <w:sz w:val="20"/>
          <w:szCs w:val="20"/>
        </w:rPr>
        <w:t xml:space="preserve">Commenting on the results, </w:t>
      </w:r>
      <w:r w:rsidR="00292207">
        <w:rPr>
          <w:rFonts w:ascii="Arial" w:hAnsi="Arial" w:cs="Arial"/>
          <w:sz w:val="20"/>
          <w:szCs w:val="20"/>
        </w:rPr>
        <w:t>Katherine Prowse, Senior Insight Manager</w:t>
      </w:r>
      <w:r>
        <w:rPr>
          <w:rFonts w:ascii="Arial" w:hAnsi="Arial" w:cs="Arial"/>
          <w:sz w:val="20"/>
          <w:szCs w:val="20"/>
        </w:rPr>
        <w:t xml:space="preserve"> at Lumina Intelligence said, </w:t>
      </w:r>
      <w:r w:rsidRPr="00E362CA">
        <w:rPr>
          <w:rFonts w:ascii="Arial" w:hAnsi="Arial" w:cs="Arial"/>
          <w:i/>
          <w:iCs/>
          <w:sz w:val="20"/>
          <w:szCs w:val="20"/>
        </w:rPr>
        <w:t>“</w:t>
      </w:r>
      <w:r w:rsidR="00D43546">
        <w:rPr>
          <w:rFonts w:ascii="Arial" w:hAnsi="Arial" w:cs="Arial"/>
          <w:i/>
          <w:iCs/>
          <w:sz w:val="20"/>
          <w:szCs w:val="20"/>
        </w:rPr>
        <w:t>Positively for the UK hospitality industry, the easing of restrictions has shown signs of consumers returning to normality. Pubs, bars and restaurant are driving participation and spend, with delivery playing less of a pivotal role. This is something that we expect to continue to grow, particularly now that all restrictions have eased.”</w:t>
      </w:r>
    </w:p>
    <w:p w14:paraId="7D3928FC" w14:textId="0641BB27" w:rsidR="00D43546" w:rsidRDefault="00D43546" w:rsidP="008E5A63">
      <w:pPr>
        <w:rPr>
          <w:rFonts w:ascii="Arial" w:hAnsi="Arial" w:cs="Arial"/>
          <w:i/>
          <w:iCs/>
          <w:sz w:val="20"/>
          <w:szCs w:val="20"/>
        </w:rPr>
      </w:pPr>
      <w:r>
        <w:rPr>
          <w:rFonts w:ascii="Arial" w:hAnsi="Arial" w:cs="Arial"/>
          <w:i/>
          <w:iCs/>
          <w:sz w:val="20"/>
          <w:szCs w:val="20"/>
        </w:rPr>
        <w:t>“We are also seeing more spontaneity from consumers. ‘I was out and about (e.g. shopping)’ is now the second biggest reason for eating or drinking out. As town and city centres continue to open up, operators should see this as a great opportunity to generate incremental footfall and inspire consumers that may have not been considering eating out.”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77777777" w:rsidR="0049573C" w:rsidRPr="0049573C" w:rsidRDefault="0049573C" w:rsidP="0049573C">
      <w:pPr>
        <w:rPr>
          <w:rFonts w:ascii="Arial" w:hAnsi="Arial" w:cs="Arial"/>
          <w:sz w:val="20"/>
          <w:szCs w:val="20"/>
        </w:rPr>
      </w:pPr>
      <w:r w:rsidRPr="0049573C">
        <w:rPr>
          <w:rFonts w:ascii="Arial" w:hAnsi="Arial" w:cs="Arial"/>
          <w:sz w:val="20"/>
          <w:szCs w:val="20"/>
        </w:rPr>
        <w:t>The Lumina Intelligence UK Eating Out Report 2021 is the trusted source of insight for UK leading manufacturers and operators.</w:t>
      </w:r>
    </w:p>
    <w:p w14:paraId="354366F1" w14:textId="43DA9B32" w:rsidR="0049573C" w:rsidRDefault="0049573C" w:rsidP="0049573C">
      <w:pPr>
        <w:rPr>
          <w:rFonts w:ascii="Arial" w:hAnsi="Arial" w:cs="Arial"/>
          <w:sz w:val="20"/>
          <w:szCs w:val="20"/>
        </w:rPr>
      </w:pPr>
      <w:r>
        <w:rPr>
          <w:rFonts w:ascii="Arial" w:hAnsi="Arial" w:cs="Arial"/>
          <w:sz w:val="20"/>
          <w:szCs w:val="20"/>
        </w:rPr>
        <w:t>The report methodology includes:</w:t>
      </w:r>
    </w:p>
    <w:p w14:paraId="76713B5F" w14:textId="416959A8"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Consumer eating out behaviour data based on 78,000 surveys across the year from Lumina Intelligence’s Eating &amp; Drinking Out Panel.</w:t>
      </w:r>
    </w:p>
    <w:p w14:paraId="0AF441BE" w14:textId="5F35D744"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lastRenderedPageBreak/>
        <w:t>Extracts from Lumina Intelligence Operator Data Index and synthesis with wider market sizing databases.</w:t>
      </w:r>
    </w:p>
    <w:p w14:paraId="25D77DB5" w14:textId="770009A6"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A bespoke consumer survey analysing attitudes towards eating out and what the impact of the coronavirus will be on future intentions to eat out</w:t>
      </w:r>
    </w:p>
    <w:p w14:paraId="3480AC66" w14:textId="41D23B0F"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Desk research: news articles and trade press, company websites and industry associations.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653F1"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3"/>
  </w:num>
  <w:num w:numId="6">
    <w:abstractNumId w:val="8"/>
  </w:num>
  <w:num w:numId="7">
    <w:abstractNumId w:val="0"/>
  </w:num>
  <w:num w:numId="8">
    <w:abstractNumId w:val="11"/>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75DF"/>
    <w:rsid w:val="000540D1"/>
    <w:rsid w:val="000653F1"/>
    <w:rsid w:val="00072404"/>
    <w:rsid w:val="000C14C9"/>
    <w:rsid w:val="000D72C7"/>
    <w:rsid w:val="000F1972"/>
    <w:rsid w:val="00113451"/>
    <w:rsid w:val="00116246"/>
    <w:rsid w:val="00117161"/>
    <w:rsid w:val="001249C3"/>
    <w:rsid w:val="00130BE2"/>
    <w:rsid w:val="001B2875"/>
    <w:rsid w:val="001C257C"/>
    <w:rsid w:val="001C2E4F"/>
    <w:rsid w:val="001C50C1"/>
    <w:rsid w:val="001C589F"/>
    <w:rsid w:val="001C5B98"/>
    <w:rsid w:val="001C65B6"/>
    <w:rsid w:val="001D612C"/>
    <w:rsid w:val="0020205C"/>
    <w:rsid w:val="00214D95"/>
    <w:rsid w:val="00217EE3"/>
    <w:rsid w:val="00261F91"/>
    <w:rsid w:val="002723AE"/>
    <w:rsid w:val="00284E8B"/>
    <w:rsid w:val="00285BD0"/>
    <w:rsid w:val="00292207"/>
    <w:rsid w:val="002A0F0F"/>
    <w:rsid w:val="002A1E6A"/>
    <w:rsid w:val="002B740C"/>
    <w:rsid w:val="002B747C"/>
    <w:rsid w:val="002F0BB4"/>
    <w:rsid w:val="002F7EAF"/>
    <w:rsid w:val="00302E10"/>
    <w:rsid w:val="00332724"/>
    <w:rsid w:val="00345B52"/>
    <w:rsid w:val="00363346"/>
    <w:rsid w:val="0036362F"/>
    <w:rsid w:val="003C4BB2"/>
    <w:rsid w:val="003E204B"/>
    <w:rsid w:val="003E4324"/>
    <w:rsid w:val="003F621E"/>
    <w:rsid w:val="00407BDB"/>
    <w:rsid w:val="00437579"/>
    <w:rsid w:val="0044412F"/>
    <w:rsid w:val="0046554A"/>
    <w:rsid w:val="00471332"/>
    <w:rsid w:val="00493A4C"/>
    <w:rsid w:val="0049573C"/>
    <w:rsid w:val="004B1277"/>
    <w:rsid w:val="004B3902"/>
    <w:rsid w:val="004D23F6"/>
    <w:rsid w:val="004E551E"/>
    <w:rsid w:val="004F1FF8"/>
    <w:rsid w:val="004F62D9"/>
    <w:rsid w:val="00511B5A"/>
    <w:rsid w:val="00550B08"/>
    <w:rsid w:val="0055150D"/>
    <w:rsid w:val="00553497"/>
    <w:rsid w:val="00566CAE"/>
    <w:rsid w:val="005B7B3F"/>
    <w:rsid w:val="005C0F44"/>
    <w:rsid w:val="005C7794"/>
    <w:rsid w:val="005E7052"/>
    <w:rsid w:val="00604B4A"/>
    <w:rsid w:val="006120E6"/>
    <w:rsid w:val="006247CE"/>
    <w:rsid w:val="0064548D"/>
    <w:rsid w:val="0064772D"/>
    <w:rsid w:val="00664850"/>
    <w:rsid w:val="00690537"/>
    <w:rsid w:val="006B7F83"/>
    <w:rsid w:val="006D1829"/>
    <w:rsid w:val="006E735F"/>
    <w:rsid w:val="006E79FF"/>
    <w:rsid w:val="00720ABB"/>
    <w:rsid w:val="007221DF"/>
    <w:rsid w:val="007229E3"/>
    <w:rsid w:val="007446FD"/>
    <w:rsid w:val="00755025"/>
    <w:rsid w:val="0076037A"/>
    <w:rsid w:val="007716CF"/>
    <w:rsid w:val="007B4F7A"/>
    <w:rsid w:val="007F071A"/>
    <w:rsid w:val="007F3C85"/>
    <w:rsid w:val="008249B4"/>
    <w:rsid w:val="008276B8"/>
    <w:rsid w:val="00846DDB"/>
    <w:rsid w:val="00862CCB"/>
    <w:rsid w:val="008852CE"/>
    <w:rsid w:val="008A46AD"/>
    <w:rsid w:val="008B3101"/>
    <w:rsid w:val="008D4655"/>
    <w:rsid w:val="008E317A"/>
    <w:rsid w:val="008E5A63"/>
    <w:rsid w:val="00906A89"/>
    <w:rsid w:val="0094762B"/>
    <w:rsid w:val="00976FE8"/>
    <w:rsid w:val="009A17EF"/>
    <w:rsid w:val="009A6775"/>
    <w:rsid w:val="009C613A"/>
    <w:rsid w:val="009D1543"/>
    <w:rsid w:val="009D7AE0"/>
    <w:rsid w:val="00A3135A"/>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B38ED"/>
    <w:rsid w:val="00CE6B8A"/>
    <w:rsid w:val="00D07C64"/>
    <w:rsid w:val="00D25202"/>
    <w:rsid w:val="00D30793"/>
    <w:rsid w:val="00D308D1"/>
    <w:rsid w:val="00D36AF3"/>
    <w:rsid w:val="00D43546"/>
    <w:rsid w:val="00D81C35"/>
    <w:rsid w:val="00DA3FA1"/>
    <w:rsid w:val="00DB2AFC"/>
    <w:rsid w:val="00DD5EEB"/>
    <w:rsid w:val="00E214AC"/>
    <w:rsid w:val="00E362CA"/>
    <w:rsid w:val="00E56A95"/>
    <w:rsid w:val="00E6199F"/>
    <w:rsid w:val="00E72427"/>
    <w:rsid w:val="00E734FF"/>
    <w:rsid w:val="00E975B9"/>
    <w:rsid w:val="00EA1B39"/>
    <w:rsid w:val="00EC1035"/>
    <w:rsid w:val="00EC455C"/>
    <w:rsid w:val="00ED0369"/>
    <w:rsid w:val="00ED2C5E"/>
    <w:rsid w:val="00ED3ABD"/>
    <w:rsid w:val="00EE59D7"/>
    <w:rsid w:val="00F16921"/>
    <w:rsid w:val="00F30CBB"/>
    <w:rsid w:val="00F43C71"/>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2021-08-31T09:38:00Z</dcterms:created>
  <dcterms:modified xsi:type="dcterms:W3CDTF">2021-08-31T09:59:00Z</dcterms:modified>
</cp:coreProperties>
</file>