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6">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C41362" w:rsidP="00ED3ABD">
      <w:pPr>
        <w:spacing w:after="0" w:line="240" w:lineRule="auto"/>
        <w:rPr>
          <w:rStyle w:val="Hyperlink"/>
          <w:rFonts w:ascii="Arial" w:hAnsi="Arial" w:cs="Arial"/>
          <w:color w:val="505050"/>
          <w:sz w:val="18"/>
          <w:szCs w:val="18"/>
        </w:rPr>
      </w:pPr>
      <w:hyperlink r:id="rId7"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DF4DAA6" w:rsidR="00ED3ABD" w:rsidRPr="00550B08" w:rsidRDefault="002D306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05 October</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0105AB1" w14:textId="03F0FE37" w:rsidR="000809E0" w:rsidRDefault="002D3062" w:rsidP="00805301">
      <w:pPr>
        <w:jc w:val="center"/>
        <w:rPr>
          <w:rFonts w:ascii="Arial" w:hAnsi="Arial" w:cs="Arial"/>
          <w:b/>
          <w:bCs/>
          <w:sz w:val="32"/>
          <w:szCs w:val="32"/>
        </w:rPr>
      </w:pPr>
      <w:r>
        <w:rPr>
          <w:rFonts w:ascii="Arial" w:hAnsi="Arial" w:cs="Arial"/>
          <w:b/>
          <w:bCs/>
          <w:sz w:val="32"/>
          <w:szCs w:val="32"/>
        </w:rPr>
        <w:t>34% of consumers either have or likely to stockpile food and drink products for Christmas by the end of October</w:t>
      </w:r>
    </w:p>
    <w:p w14:paraId="0345E989" w14:textId="77777777" w:rsidR="00805301" w:rsidRDefault="00805301" w:rsidP="00805301">
      <w:pPr>
        <w:jc w:val="center"/>
        <w:rPr>
          <w:rFonts w:ascii="Arial" w:hAnsi="Arial" w:cs="Arial"/>
          <w:sz w:val="20"/>
          <w:szCs w:val="20"/>
        </w:rPr>
      </w:pPr>
    </w:p>
    <w:p w14:paraId="109F9350" w14:textId="20835829" w:rsidR="002D3062"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2D3062">
        <w:rPr>
          <w:rFonts w:ascii="Arial" w:hAnsi="Arial" w:cs="Arial"/>
          <w:sz w:val="20"/>
          <w:szCs w:val="20"/>
        </w:rPr>
        <w:t>a recent survey conducted by Lumina Intelligence, a third (34%) of consumers either have or are considering purchasing food and drink for Christmas before the end of October.</w:t>
      </w:r>
    </w:p>
    <w:p w14:paraId="69D9E739" w14:textId="7A96A2F6" w:rsidR="002D3062" w:rsidRDefault="002D3062" w:rsidP="008C2F28">
      <w:pPr>
        <w:rPr>
          <w:rFonts w:ascii="Arial" w:hAnsi="Arial" w:cs="Arial"/>
          <w:sz w:val="20"/>
          <w:szCs w:val="20"/>
        </w:rPr>
      </w:pPr>
      <w:r>
        <w:rPr>
          <w:rFonts w:ascii="Arial" w:hAnsi="Arial" w:cs="Arial"/>
          <w:sz w:val="20"/>
          <w:szCs w:val="20"/>
        </w:rPr>
        <w:t xml:space="preserve">The survey found that </w:t>
      </w:r>
      <w:r w:rsidR="00681B3A">
        <w:rPr>
          <w:rFonts w:ascii="Arial" w:hAnsi="Arial" w:cs="Arial"/>
          <w:sz w:val="20"/>
          <w:szCs w:val="20"/>
        </w:rPr>
        <w:t xml:space="preserve">55% of consumers are somewhat worried following media coverage on </w:t>
      </w:r>
      <w:r w:rsidR="00681B3A" w:rsidRPr="00681B3A">
        <w:rPr>
          <w:rFonts w:ascii="Arial" w:hAnsi="Arial" w:cs="Arial"/>
          <w:sz w:val="20"/>
          <w:szCs w:val="20"/>
        </w:rPr>
        <w:t>people stockpiling food and drinks for Christmas already</w:t>
      </w:r>
      <w:r w:rsidR="00681B3A">
        <w:rPr>
          <w:rFonts w:ascii="Arial" w:hAnsi="Arial" w:cs="Arial"/>
          <w:sz w:val="20"/>
          <w:szCs w:val="20"/>
        </w:rPr>
        <w:t>, due to concerns</w:t>
      </w:r>
      <w:r w:rsidR="00681B3A" w:rsidRPr="00681B3A">
        <w:rPr>
          <w:rFonts w:ascii="Arial" w:hAnsi="Arial" w:cs="Arial"/>
          <w:sz w:val="20"/>
          <w:szCs w:val="20"/>
        </w:rPr>
        <w:t xml:space="preserve"> about product shortages</w:t>
      </w:r>
      <w:r w:rsidR="00681B3A">
        <w:rPr>
          <w:rFonts w:ascii="Arial" w:hAnsi="Arial" w:cs="Arial"/>
          <w:sz w:val="20"/>
          <w:szCs w:val="20"/>
        </w:rPr>
        <w:t>, as a result of</w:t>
      </w:r>
      <w:r w:rsidR="00681B3A" w:rsidRPr="00681B3A">
        <w:rPr>
          <w:rFonts w:ascii="Arial" w:hAnsi="Arial" w:cs="Arial"/>
          <w:sz w:val="20"/>
          <w:szCs w:val="20"/>
        </w:rPr>
        <w:t xml:space="preserve"> Brexit, Covid, and the lack of lorry drivers</w:t>
      </w:r>
      <w:r w:rsidR="00681B3A">
        <w:rPr>
          <w:rFonts w:ascii="Arial" w:hAnsi="Arial" w:cs="Arial"/>
          <w:sz w:val="20"/>
          <w:szCs w:val="20"/>
        </w:rPr>
        <w:t>:</w:t>
      </w:r>
    </w:p>
    <w:tbl>
      <w:tblPr>
        <w:tblStyle w:val="TableGrid"/>
        <w:tblW w:w="0" w:type="auto"/>
        <w:tblLook w:val="04A0" w:firstRow="1" w:lastRow="0" w:firstColumn="1" w:lastColumn="0" w:noHBand="0" w:noVBand="1"/>
      </w:tblPr>
      <w:tblGrid>
        <w:gridCol w:w="1835"/>
        <w:gridCol w:w="767"/>
      </w:tblGrid>
      <w:tr w:rsidR="00681B3A" w14:paraId="11D2100E" w14:textId="77777777" w:rsidTr="005B5362">
        <w:trPr>
          <w:trHeight w:val="322"/>
        </w:trPr>
        <w:tc>
          <w:tcPr>
            <w:tcW w:w="1835" w:type="dxa"/>
          </w:tcPr>
          <w:p w14:paraId="59EDEAC3" w14:textId="15FAAF29" w:rsidR="00681B3A" w:rsidRDefault="00681B3A" w:rsidP="008C2F28">
            <w:pPr>
              <w:rPr>
                <w:rFonts w:ascii="Arial" w:hAnsi="Arial" w:cs="Arial"/>
                <w:sz w:val="20"/>
                <w:szCs w:val="20"/>
              </w:rPr>
            </w:pPr>
            <w:r>
              <w:rPr>
                <w:rFonts w:ascii="Arial" w:hAnsi="Arial" w:cs="Arial"/>
                <w:sz w:val="20"/>
                <w:szCs w:val="20"/>
              </w:rPr>
              <w:t>Very worried</w:t>
            </w:r>
          </w:p>
        </w:tc>
        <w:tc>
          <w:tcPr>
            <w:tcW w:w="767" w:type="dxa"/>
          </w:tcPr>
          <w:p w14:paraId="17542311" w14:textId="1386F1DB" w:rsidR="00681B3A" w:rsidRDefault="00681B3A" w:rsidP="008C2F28">
            <w:pPr>
              <w:rPr>
                <w:rFonts w:ascii="Arial" w:hAnsi="Arial" w:cs="Arial"/>
                <w:sz w:val="20"/>
                <w:szCs w:val="20"/>
              </w:rPr>
            </w:pPr>
            <w:r>
              <w:rPr>
                <w:rFonts w:ascii="Arial" w:hAnsi="Arial" w:cs="Arial"/>
                <w:sz w:val="20"/>
                <w:szCs w:val="20"/>
              </w:rPr>
              <w:t>10%</w:t>
            </w:r>
          </w:p>
        </w:tc>
      </w:tr>
      <w:tr w:rsidR="00681B3A" w14:paraId="35ACB99A" w14:textId="77777777" w:rsidTr="005B5362">
        <w:trPr>
          <w:trHeight w:val="307"/>
        </w:trPr>
        <w:tc>
          <w:tcPr>
            <w:tcW w:w="1835" w:type="dxa"/>
          </w:tcPr>
          <w:p w14:paraId="42BEAA80" w14:textId="0F99D36B" w:rsidR="00681B3A" w:rsidRDefault="00681B3A" w:rsidP="008C2F28">
            <w:pPr>
              <w:rPr>
                <w:rFonts w:ascii="Arial" w:hAnsi="Arial" w:cs="Arial"/>
                <w:sz w:val="20"/>
                <w:szCs w:val="20"/>
              </w:rPr>
            </w:pPr>
            <w:r>
              <w:rPr>
                <w:rFonts w:ascii="Arial" w:hAnsi="Arial" w:cs="Arial"/>
                <w:sz w:val="20"/>
                <w:szCs w:val="20"/>
              </w:rPr>
              <w:t>Worried</w:t>
            </w:r>
          </w:p>
        </w:tc>
        <w:tc>
          <w:tcPr>
            <w:tcW w:w="767" w:type="dxa"/>
          </w:tcPr>
          <w:p w14:paraId="279FB9EE" w14:textId="2B967A64" w:rsidR="00681B3A" w:rsidRDefault="00681B3A" w:rsidP="008C2F28">
            <w:pPr>
              <w:rPr>
                <w:rFonts w:ascii="Arial" w:hAnsi="Arial" w:cs="Arial"/>
                <w:sz w:val="20"/>
                <w:szCs w:val="20"/>
              </w:rPr>
            </w:pPr>
            <w:r>
              <w:rPr>
                <w:rFonts w:ascii="Arial" w:hAnsi="Arial" w:cs="Arial"/>
                <w:sz w:val="20"/>
                <w:szCs w:val="20"/>
              </w:rPr>
              <w:t>16%</w:t>
            </w:r>
          </w:p>
        </w:tc>
      </w:tr>
      <w:tr w:rsidR="00681B3A" w14:paraId="36F942EA" w14:textId="77777777" w:rsidTr="005B5362">
        <w:trPr>
          <w:trHeight w:val="322"/>
        </w:trPr>
        <w:tc>
          <w:tcPr>
            <w:tcW w:w="1835" w:type="dxa"/>
          </w:tcPr>
          <w:p w14:paraId="3E591021" w14:textId="0B84DB3C" w:rsidR="00681B3A" w:rsidRDefault="00681B3A" w:rsidP="008C2F28">
            <w:pPr>
              <w:rPr>
                <w:rFonts w:ascii="Arial" w:hAnsi="Arial" w:cs="Arial"/>
                <w:sz w:val="20"/>
                <w:szCs w:val="20"/>
              </w:rPr>
            </w:pPr>
            <w:r>
              <w:rPr>
                <w:rFonts w:ascii="Arial" w:hAnsi="Arial" w:cs="Arial"/>
                <w:sz w:val="20"/>
                <w:szCs w:val="20"/>
              </w:rPr>
              <w:t>Slightly worried</w:t>
            </w:r>
          </w:p>
        </w:tc>
        <w:tc>
          <w:tcPr>
            <w:tcW w:w="767" w:type="dxa"/>
          </w:tcPr>
          <w:p w14:paraId="79CC8AE4" w14:textId="7DB8F19F" w:rsidR="00681B3A" w:rsidRDefault="00681B3A" w:rsidP="008C2F28">
            <w:pPr>
              <w:rPr>
                <w:rFonts w:ascii="Arial" w:hAnsi="Arial" w:cs="Arial"/>
                <w:sz w:val="20"/>
                <w:szCs w:val="20"/>
              </w:rPr>
            </w:pPr>
            <w:r>
              <w:rPr>
                <w:rFonts w:ascii="Arial" w:hAnsi="Arial" w:cs="Arial"/>
                <w:sz w:val="20"/>
                <w:szCs w:val="20"/>
              </w:rPr>
              <w:t>30%</w:t>
            </w:r>
          </w:p>
        </w:tc>
      </w:tr>
    </w:tbl>
    <w:p w14:paraId="7FF6A522" w14:textId="77777777" w:rsidR="00681B3A" w:rsidRDefault="00681B3A" w:rsidP="008C2F28">
      <w:pPr>
        <w:rPr>
          <w:rFonts w:ascii="Arial" w:hAnsi="Arial" w:cs="Arial"/>
          <w:sz w:val="20"/>
          <w:szCs w:val="20"/>
        </w:rPr>
      </w:pPr>
    </w:p>
    <w:p w14:paraId="2724B9A4" w14:textId="76764333" w:rsidR="002D3062" w:rsidRDefault="00681B3A" w:rsidP="008C2F28">
      <w:pPr>
        <w:rPr>
          <w:rFonts w:ascii="Arial" w:hAnsi="Arial" w:cs="Arial"/>
          <w:sz w:val="20"/>
          <w:szCs w:val="20"/>
        </w:rPr>
      </w:pPr>
      <w:r>
        <w:rPr>
          <w:rFonts w:ascii="Arial" w:hAnsi="Arial" w:cs="Arial"/>
          <w:sz w:val="20"/>
          <w:szCs w:val="20"/>
        </w:rPr>
        <w:t>The results show that those in the youngest (18-24) and eldest (65+) age categories are the least likely to be worried about shortages ahead of Christmas, as a result of shoppers stockpiling.</w:t>
      </w:r>
    </w:p>
    <w:p w14:paraId="71A27F91" w14:textId="11AEF6CD" w:rsidR="00681B3A" w:rsidRDefault="005B5362" w:rsidP="008C2F28">
      <w:pPr>
        <w:rPr>
          <w:rFonts w:ascii="Arial" w:hAnsi="Arial" w:cs="Arial"/>
          <w:sz w:val="20"/>
          <w:szCs w:val="20"/>
        </w:rPr>
      </w:pPr>
      <w:r>
        <w:rPr>
          <w:rFonts w:ascii="Arial" w:hAnsi="Arial" w:cs="Arial"/>
          <w:sz w:val="20"/>
          <w:szCs w:val="20"/>
        </w:rPr>
        <w:t>Despite over half of consumers expressing concern around product shortages, only a third (34%) either have or are considering stockpiling:</w:t>
      </w:r>
    </w:p>
    <w:tbl>
      <w:tblPr>
        <w:tblStyle w:val="TableGrid"/>
        <w:tblW w:w="9114" w:type="dxa"/>
        <w:tblLook w:val="04A0" w:firstRow="1" w:lastRow="0" w:firstColumn="1" w:lastColumn="0" w:noHBand="0" w:noVBand="1"/>
      </w:tblPr>
      <w:tblGrid>
        <w:gridCol w:w="7877"/>
        <w:gridCol w:w="1237"/>
      </w:tblGrid>
      <w:tr w:rsidR="005B5362" w14:paraId="4F9A3FF9" w14:textId="77777777" w:rsidTr="005B5362">
        <w:trPr>
          <w:trHeight w:val="394"/>
        </w:trPr>
        <w:tc>
          <w:tcPr>
            <w:tcW w:w="7877" w:type="dxa"/>
            <w:vAlign w:val="center"/>
          </w:tcPr>
          <w:p w14:paraId="695DAB85" w14:textId="4F2A517A" w:rsidR="005B5362" w:rsidRDefault="005B5362" w:rsidP="005B5362">
            <w:pPr>
              <w:rPr>
                <w:rFonts w:ascii="Arial" w:hAnsi="Arial" w:cs="Arial"/>
                <w:sz w:val="20"/>
                <w:szCs w:val="20"/>
              </w:rPr>
            </w:pPr>
            <w:r>
              <w:rPr>
                <w:rFonts w:ascii="Arial" w:hAnsi="Arial" w:cs="Arial"/>
                <w:sz w:val="20"/>
                <w:szCs w:val="20"/>
              </w:rPr>
              <w:t>Have already purchased food and drink products ahead of Christmas</w:t>
            </w:r>
          </w:p>
        </w:tc>
        <w:tc>
          <w:tcPr>
            <w:tcW w:w="1237" w:type="dxa"/>
            <w:vAlign w:val="center"/>
          </w:tcPr>
          <w:p w14:paraId="498A0979" w14:textId="6BB98F71" w:rsidR="005B5362" w:rsidRDefault="005B5362" w:rsidP="005B5362">
            <w:pPr>
              <w:rPr>
                <w:rFonts w:ascii="Arial" w:hAnsi="Arial" w:cs="Arial"/>
                <w:sz w:val="20"/>
                <w:szCs w:val="20"/>
              </w:rPr>
            </w:pPr>
            <w:r>
              <w:rPr>
                <w:rFonts w:ascii="Arial" w:hAnsi="Arial" w:cs="Arial"/>
                <w:sz w:val="20"/>
                <w:szCs w:val="20"/>
              </w:rPr>
              <w:t>6%</w:t>
            </w:r>
          </w:p>
        </w:tc>
      </w:tr>
      <w:tr w:rsidR="005B5362" w14:paraId="3AAC6D81" w14:textId="77777777" w:rsidTr="005B5362">
        <w:trPr>
          <w:trHeight w:val="375"/>
        </w:trPr>
        <w:tc>
          <w:tcPr>
            <w:tcW w:w="7877" w:type="dxa"/>
            <w:vAlign w:val="center"/>
          </w:tcPr>
          <w:p w14:paraId="6B950534" w14:textId="5358EDFB" w:rsidR="005B5362" w:rsidRDefault="005B5362" w:rsidP="005B5362">
            <w:pPr>
              <w:rPr>
                <w:rFonts w:ascii="Arial" w:hAnsi="Arial" w:cs="Arial"/>
                <w:sz w:val="20"/>
                <w:szCs w:val="20"/>
              </w:rPr>
            </w:pPr>
            <w:r>
              <w:rPr>
                <w:rFonts w:ascii="Arial" w:hAnsi="Arial" w:cs="Arial"/>
                <w:sz w:val="20"/>
                <w:szCs w:val="20"/>
              </w:rPr>
              <w:t>Definitely will purchase food and drink products for Christmas by the end of October</w:t>
            </w:r>
          </w:p>
        </w:tc>
        <w:tc>
          <w:tcPr>
            <w:tcW w:w="1237" w:type="dxa"/>
            <w:vAlign w:val="center"/>
          </w:tcPr>
          <w:p w14:paraId="4EF57C3F" w14:textId="7C2538F3" w:rsidR="005B5362" w:rsidRDefault="005B5362" w:rsidP="005B5362">
            <w:pPr>
              <w:rPr>
                <w:rFonts w:ascii="Arial" w:hAnsi="Arial" w:cs="Arial"/>
                <w:sz w:val="20"/>
                <w:szCs w:val="20"/>
              </w:rPr>
            </w:pPr>
            <w:r>
              <w:rPr>
                <w:rFonts w:ascii="Arial" w:hAnsi="Arial" w:cs="Arial"/>
                <w:sz w:val="20"/>
                <w:szCs w:val="20"/>
              </w:rPr>
              <w:t>10%</w:t>
            </w:r>
          </w:p>
        </w:tc>
      </w:tr>
      <w:tr w:rsidR="005B5362" w14:paraId="3D397AE0" w14:textId="77777777" w:rsidTr="005B5362">
        <w:trPr>
          <w:trHeight w:val="394"/>
        </w:trPr>
        <w:tc>
          <w:tcPr>
            <w:tcW w:w="7877" w:type="dxa"/>
            <w:vAlign w:val="center"/>
          </w:tcPr>
          <w:p w14:paraId="03F1C7EE" w14:textId="36CC4F7F" w:rsidR="005B5362" w:rsidRDefault="005B5362" w:rsidP="005B5362">
            <w:pPr>
              <w:rPr>
                <w:rFonts w:ascii="Arial" w:hAnsi="Arial" w:cs="Arial"/>
                <w:sz w:val="20"/>
                <w:szCs w:val="20"/>
              </w:rPr>
            </w:pPr>
            <w:r>
              <w:rPr>
                <w:rFonts w:ascii="Arial" w:hAnsi="Arial" w:cs="Arial"/>
                <w:sz w:val="20"/>
                <w:szCs w:val="20"/>
              </w:rPr>
              <w:t>Probably</w:t>
            </w:r>
            <w:r>
              <w:rPr>
                <w:rFonts w:ascii="Arial" w:hAnsi="Arial" w:cs="Arial"/>
                <w:sz w:val="20"/>
                <w:szCs w:val="20"/>
              </w:rPr>
              <w:t xml:space="preserve"> will purchase food and drink products for Christmas by the end of October</w:t>
            </w:r>
          </w:p>
        </w:tc>
        <w:tc>
          <w:tcPr>
            <w:tcW w:w="1237" w:type="dxa"/>
            <w:vAlign w:val="center"/>
          </w:tcPr>
          <w:p w14:paraId="6D8FB5AC" w14:textId="2A990A42" w:rsidR="005B5362" w:rsidRDefault="005B5362" w:rsidP="005B5362">
            <w:pPr>
              <w:rPr>
                <w:rFonts w:ascii="Arial" w:hAnsi="Arial" w:cs="Arial"/>
                <w:sz w:val="20"/>
                <w:szCs w:val="20"/>
              </w:rPr>
            </w:pPr>
            <w:r>
              <w:rPr>
                <w:rFonts w:ascii="Arial" w:hAnsi="Arial" w:cs="Arial"/>
                <w:sz w:val="20"/>
                <w:szCs w:val="20"/>
              </w:rPr>
              <w:t>18%</w:t>
            </w:r>
          </w:p>
        </w:tc>
      </w:tr>
    </w:tbl>
    <w:p w14:paraId="003EC6CE" w14:textId="77777777" w:rsidR="005B5362" w:rsidRDefault="005B5362" w:rsidP="008C2F28">
      <w:pPr>
        <w:rPr>
          <w:rFonts w:ascii="Arial" w:hAnsi="Arial" w:cs="Arial"/>
          <w:sz w:val="20"/>
          <w:szCs w:val="20"/>
        </w:rPr>
      </w:pPr>
    </w:p>
    <w:p w14:paraId="0E062668" w14:textId="0391380B" w:rsidR="00681B3A" w:rsidRDefault="000043EF" w:rsidP="008C2F28">
      <w:pPr>
        <w:rPr>
          <w:rFonts w:ascii="Arial" w:hAnsi="Arial" w:cs="Arial"/>
          <w:sz w:val="20"/>
          <w:szCs w:val="20"/>
        </w:rPr>
      </w:pPr>
      <w:r>
        <w:rPr>
          <w:rFonts w:ascii="Arial" w:hAnsi="Arial" w:cs="Arial"/>
          <w:sz w:val="20"/>
          <w:szCs w:val="20"/>
        </w:rPr>
        <w:t>The categories that consumers are most likely to purchase for Christmas before the end of October are:</w:t>
      </w:r>
    </w:p>
    <w:tbl>
      <w:tblPr>
        <w:tblStyle w:val="TableGrid"/>
        <w:tblW w:w="3681" w:type="dxa"/>
        <w:tblLook w:val="04A0" w:firstRow="1" w:lastRow="0" w:firstColumn="1" w:lastColumn="0" w:noHBand="0" w:noVBand="1"/>
      </w:tblPr>
      <w:tblGrid>
        <w:gridCol w:w="2830"/>
        <w:gridCol w:w="851"/>
      </w:tblGrid>
      <w:tr w:rsidR="000043EF" w14:paraId="7FC10272" w14:textId="77777777" w:rsidTr="000043EF">
        <w:trPr>
          <w:trHeight w:val="293"/>
        </w:trPr>
        <w:tc>
          <w:tcPr>
            <w:tcW w:w="2830" w:type="dxa"/>
            <w:hideMark/>
          </w:tcPr>
          <w:p w14:paraId="033FB12F" w14:textId="77777777" w:rsidR="000043EF" w:rsidRPr="000043EF" w:rsidRDefault="000043EF">
            <w:pPr>
              <w:rPr>
                <w:rFonts w:ascii="Arial" w:hAnsi="Arial" w:cs="Arial"/>
                <w:sz w:val="20"/>
                <w:szCs w:val="20"/>
              </w:rPr>
            </w:pPr>
            <w:r w:rsidRPr="000043EF">
              <w:rPr>
                <w:rFonts w:ascii="Arial" w:hAnsi="Arial" w:cs="Arial"/>
                <w:sz w:val="20"/>
                <w:szCs w:val="20"/>
              </w:rPr>
              <w:t>Confectionery</w:t>
            </w:r>
          </w:p>
        </w:tc>
        <w:tc>
          <w:tcPr>
            <w:tcW w:w="851" w:type="dxa"/>
            <w:hideMark/>
          </w:tcPr>
          <w:p w14:paraId="3D7D01F6" w14:textId="77777777" w:rsidR="000043EF" w:rsidRPr="000043EF" w:rsidRDefault="000043EF">
            <w:pPr>
              <w:rPr>
                <w:rFonts w:ascii="Arial" w:hAnsi="Arial" w:cs="Arial"/>
                <w:sz w:val="20"/>
                <w:szCs w:val="20"/>
              </w:rPr>
            </w:pPr>
            <w:r w:rsidRPr="000043EF">
              <w:rPr>
                <w:rFonts w:ascii="Arial" w:hAnsi="Arial" w:cs="Arial"/>
                <w:sz w:val="20"/>
                <w:szCs w:val="20"/>
              </w:rPr>
              <w:t>66%</w:t>
            </w:r>
          </w:p>
        </w:tc>
      </w:tr>
      <w:tr w:rsidR="000043EF" w14:paraId="0135C504" w14:textId="77777777" w:rsidTr="000043EF">
        <w:trPr>
          <w:trHeight w:val="280"/>
        </w:trPr>
        <w:tc>
          <w:tcPr>
            <w:tcW w:w="2830" w:type="dxa"/>
            <w:hideMark/>
          </w:tcPr>
          <w:p w14:paraId="2A87DC95" w14:textId="77777777" w:rsidR="000043EF" w:rsidRPr="000043EF" w:rsidRDefault="000043EF">
            <w:pPr>
              <w:rPr>
                <w:rFonts w:ascii="Arial" w:hAnsi="Arial" w:cs="Arial"/>
                <w:sz w:val="20"/>
                <w:szCs w:val="20"/>
              </w:rPr>
            </w:pPr>
            <w:r w:rsidRPr="000043EF">
              <w:rPr>
                <w:rFonts w:ascii="Arial" w:hAnsi="Arial" w:cs="Arial"/>
                <w:sz w:val="20"/>
                <w:szCs w:val="20"/>
              </w:rPr>
              <w:t>Crisps &amp; Snacks</w:t>
            </w:r>
          </w:p>
        </w:tc>
        <w:tc>
          <w:tcPr>
            <w:tcW w:w="851" w:type="dxa"/>
            <w:hideMark/>
          </w:tcPr>
          <w:p w14:paraId="3925FBB3" w14:textId="77777777" w:rsidR="000043EF" w:rsidRPr="000043EF" w:rsidRDefault="000043EF">
            <w:pPr>
              <w:rPr>
                <w:rFonts w:ascii="Arial" w:hAnsi="Arial" w:cs="Arial"/>
                <w:sz w:val="20"/>
                <w:szCs w:val="20"/>
              </w:rPr>
            </w:pPr>
            <w:r w:rsidRPr="000043EF">
              <w:rPr>
                <w:rFonts w:ascii="Arial" w:hAnsi="Arial" w:cs="Arial"/>
                <w:sz w:val="20"/>
                <w:szCs w:val="20"/>
              </w:rPr>
              <w:t>57%</w:t>
            </w:r>
          </w:p>
        </w:tc>
      </w:tr>
      <w:tr w:rsidR="000043EF" w14:paraId="220E7499" w14:textId="77777777" w:rsidTr="000043EF">
        <w:trPr>
          <w:trHeight w:val="293"/>
        </w:trPr>
        <w:tc>
          <w:tcPr>
            <w:tcW w:w="2830" w:type="dxa"/>
            <w:hideMark/>
          </w:tcPr>
          <w:p w14:paraId="06D3ECC5" w14:textId="77777777" w:rsidR="000043EF" w:rsidRPr="000043EF" w:rsidRDefault="000043EF">
            <w:pPr>
              <w:rPr>
                <w:rFonts w:ascii="Arial" w:hAnsi="Arial" w:cs="Arial"/>
                <w:sz w:val="20"/>
                <w:szCs w:val="20"/>
              </w:rPr>
            </w:pPr>
            <w:r w:rsidRPr="000043EF">
              <w:rPr>
                <w:rFonts w:ascii="Arial" w:hAnsi="Arial" w:cs="Arial"/>
                <w:sz w:val="20"/>
                <w:szCs w:val="20"/>
              </w:rPr>
              <w:t>Tinned &amp; packaged products</w:t>
            </w:r>
          </w:p>
        </w:tc>
        <w:tc>
          <w:tcPr>
            <w:tcW w:w="851" w:type="dxa"/>
            <w:hideMark/>
          </w:tcPr>
          <w:p w14:paraId="0B2EEB88" w14:textId="77777777" w:rsidR="000043EF" w:rsidRPr="000043EF" w:rsidRDefault="000043EF">
            <w:pPr>
              <w:rPr>
                <w:rFonts w:ascii="Arial" w:hAnsi="Arial" w:cs="Arial"/>
                <w:sz w:val="20"/>
                <w:szCs w:val="20"/>
              </w:rPr>
            </w:pPr>
            <w:r w:rsidRPr="000043EF">
              <w:rPr>
                <w:rFonts w:ascii="Arial" w:hAnsi="Arial" w:cs="Arial"/>
                <w:sz w:val="20"/>
                <w:szCs w:val="20"/>
              </w:rPr>
              <w:t>55%</w:t>
            </w:r>
          </w:p>
        </w:tc>
      </w:tr>
      <w:tr w:rsidR="000043EF" w14:paraId="459908F1" w14:textId="77777777" w:rsidTr="000043EF">
        <w:trPr>
          <w:trHeight w:val="293"/>
        </w:trPr>
        <w:tc>
          <w:tcPr>
            <w:tcW w:w="2830" w:type="dxa"/>
            <w:hideMark/>
          </w:tcPr>
          <w:p w14:paraId="1F9BC58C" w14:textId="77777777" w:rsidR="000043EF" w:rsidRPr="000043EF" w:rsidRDefault="000043EF">
            <w:pPr>
              <w:rPr>
                <w:rFonts w:ascii="Arial" w:hAnsi="Arial" w:cs="Arial"/>
                <w:sz w:val="20"/>
                <w:szCs w:val="20"/>
              </w:rPr>
            </w:pPr>
            <w:r w:rsidRPr="000043EF">
              <w:rPr>
                <w:rFonts w:ascii="Arial" w:hAnsi="Arial" w:cs="Arial"/>
                <w:sz w:val="20"/>
                <w:szCs w:val="20"/>
              </w:rPr>
              <w:t>Alcohol</w:t>
            </w:r>
          </w:p>
        </w:tc>
        <w:tc>
          <w:tcPr>
            <w:tcW w:w="851" w:type="dxa"/>
            <w:hideMark/>
          </w:tcPr>
          <w:p w14:paraId="35F65148" w14:textId="77777777" w:rsidR="000043EF" w:rsidRPr="000043EF" w:rsidRDefault="000043EF">
            <w:pPr>
              <w:rPr>
                <w:rFonts w:ascii="Arial" w:hAnsi="Arial" w:cs="Arial"/>
                <w:sz w:val="20"/>
                <w:szCs w:val="20"/>
              </w:rPr>
            </w:pPr>
            <w:r w:rsidRPr="000043EF">
              <w:rPr>
                <w:rFonts w:ascii="Arial" w:hAnsi="Arial" w:cs="Arial"/>
                <w:sz w:val="20"/>
                <w:szCs w:val="20"/>
              </w:rPr>
              <w:t>55%</w:t>
            </w:r>
          </w:p>
        </w:tc>
      </w:tr>
      <w:tr w:rsidR="000043EF" w14:paraId="63EFE5D6" w14:textId="77777777" w:rsidTr="000043EF">
        <w:trPr>
          <w:trHeight w:val="280"/>
        </w:trPr>
        <w:tc>
          <w:tcPr>
            <w:tcW w:w="2830" w:type="dxa"/>
            <w:hideMark/>
          </w:tcPr>
          <w:p w14:paraId="1AF8D62D" w14:textId="77777777" w:rsidR="000043EF" w:rsidRPr="000043EF" w:rsidRDefault="000043EF">
            <w:pPr>
              <w:rPr>
                <w:rFonts w:ascii="Arial" w:hAnsi="Arial" w:cs="Arial"/>
                <w:sz w:val="20"/>
                <w:szCs w:val="20"/>
              </w:rPr>
            </w:pPr>
            <w:r w:rsidRPr="000043EF">
              <w:rPr>
                <w:rFonts w:ascii="Arial" w:hAnsi="Arial" w:cs="Arial"/>
                <w:sz w:val="20"/>
                <w:szCs w:val="20"/>
              </w:rPr>
              <w:t>Soft Drinks</w:t>
            </w:r>
          </w:p>
        </w:tc>
        <w:tc>
          <w:tcPr>
            <w:tcW w:w="851" w:type="dxa"/>
            <w:hideMark/>
          </w:tcPr>
          <w:p w14:paraId="573D40E8" w14:textId="77777777" w:rsidR="000043EF" w:rsidRPr="000043EF" w:rsidRDefault="000043EF">
            <w:pPr>
              <w:rPr>
                <w:rFonts w:ascii="Arial" w:hAnsi="Arial" w:cs="Arial"/>
                <w:sz w:val="20"/>
                <w:szCs w:val="20"/>
              </w:rPr>
            </w:pPr>
            <w:r w:rsidRPr="000043EF">
              <w:rPr>
                <w:rFonts w:ascii="Arial" w:hAnsi="Arial" w:cs="Arial"/>
                <w:sz w:val="20"/>
                <w:szCs w:val="20"/>
              </w:rPr>
              <w:t>51%</w:t>
            </w:r>
          </w:p>
        </w:tc>
      </w:tr>
      <w:tr w:rsidR="000043EF" w14:paraId="0AA60F18" w14:textId="77777777" w:rsidTr="000043EF">
        <w:trPr>
          <w:trHeight w:val="293"/>
        </w:trPr>
        <w:tc>
          <w:tcPr>
            <w:tcW w:w="2830" w:type="dxa"/>
            <w:hideMark/>
          </w:tcPr>
          <w:p w14:paraId="05512F9E" w14:textId="77777777" w:rsidR="000043EF" w:rsidRPr="000043EF" w:rsidRDefault="000043EF">
            <w:pPr>
              <w:rPr>
                <w:rFonts w:ascii="Arial" w:hAnsi="Arial" w:cs="Arial"/>
                <w:sz w:val="20"/>
                <w:szCs w:val="20"/>
              </w:rPr>
            </w:pPr>
            <w:r w:rsidRPr="000043EF">
              <w:rPr>
                <w:rFonts w:ascii="Arial" w:hAnsi="Arial" w:cs="Arial"/>
                <w:sz w:val="20"/>
                <w:szCs w:val="20"/>
              </w:rPr>
              <w:t>Frozen</w:t>
            </w:r>
          </w:p>
        </w:tc>
        <w:tc>
          <w:tcPr>
            <w:tcW w:w="851" w:type="dxa"/>
            <w:hideMark/>
          </w:tcPr>
          <w:p w14:paraId="169C70F4" w14:textId="77777777" w:rsidR="000043EF" w:rsidRPr="000043EF" w:rsidRDefault="000043EF">
            <w:pPr>
              <w:rPr>
                <w:rFonts w:ascii="Arial" w:hAnsi="Arial" w:cs="Arial"/>
                <w:sz w:val="20"/>
                <w:szCs w:val="20"/>
              </w:rPr>
            </w:pPr>
            <w:r w:rsidRPr="000043EF">
              <w:rPr>
                <w:rFonts w:ascii="Arial" w:hAnsi="Arial" w:cs="Arial"/>
                <w:sz w:val="20"/>
                <w:szCs w:val="20"/>
              </w:rPr>
              <w:t>45%</w:t>
            </w:r>
          </w:p>
        </w:tc>
      </w:tr>
    </w:tbl>
    <w:p w14:paraId="468622B8" w14:textId="77777777" w:rsidR="000043EF" w:rsidRDefault="000043EF" w:rsidP="008C2F28">
      <w:pPr>
        <w:rPr>
          <w:rFonts w:ascii="Arial" w:hAnsi="Arial" w:cs="Arial"/>
          <w:sz w:val="20"/>
          <w:szCs w:val="20"/>
        </w:rPr>
      </w:pPr>
    </w:p>
    <w:p w14:paraId="2E3EE1A0" w14:textId="1CE999B4" w:rsidR="00681B3A" w:rsidRDefault="00681B3A" w:rsidP="00900B6F">
      <w:pPr>
        <w:rPr>
          <w:rFonts w:ascii="Arial" w:hAnsi="Arial" w:cs="Arial"/>
          <w:i/>
          <w:iCs/>
          <w:sz w:val="20"/>
          <w:szCs w:val="20"/>
        </w:rPr>
      </w:pPr>
      <w:r>
        <w:rPr>
          <w:rFonts w:ascii="Arial" w:hAnsi="Arial" w:cs="Arial"/>
          <w:sz w:val="20"/>
          <w:szCs w:val="20"/>
        </w:rPr>
        <w:t>Commenting on the finding, Blonnie Whist, Insight Director</w:t>
      </w:r>
      <w:r w:rsidR="00882EC4">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2A22E7">
        <w:rPr>
          <w:rFonts w:ascii="Arial" w:hAnsi="Arial" w:cs="Arial"/>
          <w:i/>
          <w:iCs/>
          <w:sz w:val="20"/>
          <w:szCs w:val="20"/>
        </w:rPr>
        <w:t xml:space="preserve">Christmas this year will be incredibly different to last, when travel restrictions and last-minute regional lockdowns ended most people’s festive plans. Consumers will be looking to make up for lost time and with no restrictions surrounding gatherings we can expect big celebrations. However, media coverage surrounding product shortages due to the HGV driver shortage, Brexit and Covid is concerning shoppers, with some already stockpiling ahead of Christmas and many more likely to follow suit. </w:t>
      </w:r>
      <w:r w:rsidR="002A22E7">
        <w:rPr>
          <w:rFonts w:ascii="Arial" w:hAnsi="Arial" w:cs="Arial"/>
          <w:i/>
          <w:iCs/>
          <w:sz w:val="20"/>
          <w:szCs w:val="20"/>
        </w:rPr>
        <w:lastRenderedPageBreak/>
        <w:t>Retailers need to be prepared for Christmas preparations to start early this year</w:t>
      </w:r>
      <w:r w:rsidR="00C41362">
        <w:rPr>
          <w:rFonts w:ascii="Arial" w:hAnsi="Arial" w:cs="Arial"/>
          <w:i/>
          <w:iCs/>
          <w:sz w:val="20"/>
          <w:szCs w:val="20"/>
        </w:rPr>
        <w:t xml:space="preserve"> and should expect a bumper year for sales, but also need to communicate clearly with shoppers to ensure purchasing behaviours do not hit the extremes of April 2020 when the pressures on the supply chain peaked.”</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30B7018E" w:rsidR="00550B08" w:rsidRPr="00550B08" w:rsidRDefault="00C41362">
      <w:pPr>
        <w:rPr>
          <w:rFonts w:ascii="Arial" w:hAnsi="Arial" w:cs="Arial"/>
          <w:b/>
          <w:bCs/>
          <w:sz w:val="20"/>
          <w:szCs w:val="20"/>
        </w:rPr>
      </w:pPr>
      <w:r>
        <w:rPr>
          <w:rFonts w:ascii="Arial" w:hAnsi="Arial" w:cs="Arial"/>
          <w:b/>
          <w:bCs/>
          <w:sz w:val="20"/>
          <w:szCs w:val="20"/>
        </w:rPr>
        <w:t>Research</w:t>
      </w:r>
      <w:r w:rsidR="00550B08" w:rsidRPr="00550B08">
        <w:rPr>
          <w:rFonts w:ascii="Arial" w:hAnsi="Arial" w:cs="Arial"/>
          <w:b/>
          <w:bCs/>
          <w:sz w:val="20"/>
          <w:szCs w:val="20"/>
        </w:rPr>
        <w:t xml:space="preserve"> methodology</w:t>
      </w:r>
    </w:p>
    <w:p w14:paraId="2E987506" w14:textId="0A81F470" w:rsidR="002E4CA2" w:rsidRPr="002E4CA2" w:rsidRDefault="00C41362" w:rsidP="002E4CA2">
      <w:pPr>
        <w:pStyle w:val="ListParagraph"/>
        <w:numPr>
          <w:ilvl w:val="0"/>
          <w:numId w:val="9"/>
        </w:numPr>
        <w:rPr>
          <w:rFonts w:ascii="Arial" w:hAnsi="Arial" w:cs="Arial"/>
          <w:sz w:val="20"/>
          <w:szCs w:val="20"/>
        </w:rPr>
      </w:pPr>
      <w:r>
        <w:rPr>
          <w:rFonts w:ascii="Arial" w:hAnsi="Arial" w:cs="Arial"/>
          <w:sz w:val="20"/>
          <w:szCs w:val="20"/>
        </w:rPr>
        <w:t>Online survey conducted with a nationally representative sample of 1,001 UK adults between 24-27 September</w:t>
      </w:r>
    </w:p>
    <w:p w14:paraId="6614ABD8" w14:textId="77777777" w:rsidR="002E4CA2" w:rsidRPr="00216F72" w:rsidRDefault="002E4CA2" w:rsidP="00216F72">
      <w:pPr>
        <w:rPr>
          <w:rFonts w:ascii="Arial" w:hAnsi="Arial" w:cs="Arial"/>
          <w:sz w:val="20"/>
          <w:szCs w:val="20"/>
        </w:rPr>
      </w:pP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C41362"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E695B"/>
    <w:multiLevelType w:val="hybridMultilevel"/>
    <w:tmpl w:val="1796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1"/>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43EF"/>
    <w:rsid w:val="00040E11"/>
    <w:rsid w:val="00053386"/>
    <w:rsid w:val="00072404"/>
    <w:rsid w:val="000809E0"/>
    <w:rsid w:val="000F1972"/>
    <w:rsid w:val="00107E2B"/>
    <w:rsid w:val="00113451"/>
    <w:rsid w:val="00116246"/>
    <w:rsid w:val="001249C3"/>
    <w:rsid w:val="0014004B"/>
    <w:rsid w:val="00195F54"/>
    <w:rsid w:val="001A3D4E"/>
    <w:rsid w:val="001B4C07"/>
    <w:rsid w:val="001C50C1"/>
    <w:rsid w:val="001C5B98"/>
    <w:rsid w:val="001C65B6"/>
    <w:rsid w:val="001C7BF1"/>
    <w:rsid w:val="001D4D35"/>
    <w:rsid w:val="00214D95"/>
    <w:rsid w:val="00216F72"/>
    <w:rsid w:val="00240CAC"/>
    <w:rsid w:val="00247CDA"/>
    <w:rsid w:val="00261F91"/>
    <w:rsid w:val="00293E81"/>
    <w:rsid w:val="00295EA9"/>
    <w:rsid w:val="002A0F0F"/>
    <w:rsid w:val="002A22E7"/>
    <w:rsid w:val="002B0A8F"/>
    <w:rsid w:val="002D3062"/>
    <w:rsid w:val="002E22C9"/>
    <w:rsid w:val="002E4CA2"/>
    <w:rsid w:val="002E55A7"/>
    <w:rsid w:val="002E7454"/>
    <w:rsid w:val="002F089D"/>
    <w:rsid w:val="002F0BB4"/>
    <w:rsid w:val="002F7EAF"/>
    <w:rsid w:val="00302E10"/>
    <w:rsid w:val="00341C49"/>
    <w:rsid w:val="00363346"/>
    <w:rsid w:val="003C4BB2"/>
    <w:rsid w:val="003D6B04"/>
    <w:rsid w:val="003D71D8"/>
    <w:rsid w:val="003E204B"/>
    <w:rsid w:val="0041755B"/>
    <w:rsid w:val="0044412F"/>
    <w:rsid w:val="004802AE"/>
    <w:rsid w:val="004B3902"/>
    <w:rsid w:val="004D23F6"/>
    <w:rsid w:val="004E551E"/>
    <w:rsid w:val="004F1FF8"/>
    <w:rsid w:val="00550B08"/>
    <w:rsid w:val="0055150D"/>
    <w:rsid w:val="00553497"/>
    <w:rsid w:val="00566CAE"/>
    <w:rsid w:val="005B5362"/>
    <w:rsid w:val="005B7E51"/>
    <w:rsid w:val="005F1DBE"/>
    <w:rsid w:val="00604B4A"/>
    <w:rsid w:val="0061620B"/>
    <w:rsid w:val="0064772D"/>
    <w:rsid w:val="006562DA"/>
    <w:rsid w:val="006577A4"/>
    <w:rsid w:val="00664850"/>
    <w:rsid w:val="00681B3A"/>
    <w:rsid w:val="00691E88"/>
    <w:rsid w:val="006D76E4"/>
    <w:rsid w:val="006E79FF"/>
    <w:rsid w:val="006F25AF"/>
    <w:rsid w:val="006F447C"/>
    <w:rsid w:val="00720ABB"/>
    <w:rsid w:val="007221DF"/>
    <w:rsid w:val="007229E3"/>
    <w:rsid w:val="007402DC"/>
    <w:rsid w:val="007446FD"/>
    <w:rsid w:val="00754A12"/>
    <w:rsid w:val="00755025"/>
    <w:rsid w:val="0076037A"/>
    <w:rsid w:val="007854AB"/>
    <w:rsid w:val="007A50F0"/>
    <w:rsid w:val="007C2AE1"/>
    <w:rsid w:val="007D197C"/>
    <w:rsid w:val="007F2D85"/>
    <w:rsid w:val="007F3C85"/>
    <w:rsid w:val="00805301"/>
    <w:rsid w:val="00813785"/>
    <w:rsid w:val="008249B4"/>
    <w:rsid w:val="008276B8"/>
    <w:rsid w:val="00846DDB"/>
    <w:rsid w:val="008542FE"/>
    <w:rsid w:val="00862CCB"/>
    <w:rsid w:val="00882EC4"/>
    <w:rsid w:val="008A46AD"/>
    <w:rsid w:val="008C2F28"/>
    <w:rsid w:val="008D4655"/>
    <w:rsid w:val="008D5C4F"/>
    <w:rsid w:val="008E1A01"/>
    <w:rsid w:val="008E317A"/>
    <w:rsid w:val="008E5A63"/>
    <w:rsid w:val="00900B6F"/>
    <w:rsid w:val="009A3A03"/>
    <w:rsid w:val="009A6775"/>
    <w:rsid w:val="009B45B4"/>
    <w:rsid w:val="009C3668"/>
    <w:rsid w:val="009C613A"/>
    <w:rsid w:val="009D1543"/>
    <w:rsid w:val="00A02606"/>
    <w:rsid w:val="00A63BE9"/>
    <w:rsid w:val="00A70FE3"/>
    <w:rsid w:val="00A935A1"/>
    <w:rsid w:val="00AA4D4A"/>
    <w:rsid w:val="00AD236E"/>
    <w:rsid w:val="00AE6B2F"/>
    <w:rsid w:val="00B06987"/>
    <w:rsid w:val="00B06B5C"/>
    <w:rsid w:val="00B414CE"/>
    <w:rsid w:val="00B46E6F"/>
    <w:rsid w:val="00B54F43"/>
    <w:rsid w:val="00B833AA"/>
    <w:rsid w:val="00B94423"/>
    <w:rsid w:val="00BB4747"/>
    <w:rsid w:val="00BF2008"/>
    <w:rsid w:val="00C11CF0"/>
    <w:rsid w:val="00C16ADB"/>
    <w:rsid w:val="00C270FD"/>
    <w:rsid w:val="00C30C1F"/>
    <w:rsid w:val="00C41362"/>
    <w:rsid w:val="00C4785A"/>
    <w:rsid w:val="00C545F0"/>
    <w:rsid w:val="00C55E00"/>
    <w:rsid w:val="00C77C17"/>
    <w:rsid w:val="00C86028"/>
    <w:rsid w:val="00CA6670"/>
    <w:rsid w:val="00CE6B8A"/>
    <w:rsid w:val="00CF3A3C"/>
    <w:rsid w:val="00D25202"/>
    <w:rsid w:val="00D308D1"/>
    <w:rsid w:val="00D419B6"/>
    <w:rsid w:val="00D7181B"/>
    <w:rsid w:val="00DA4920"/>
    <w:rsid w:val="00DB062C"/>
    <w:rsid w:val="00DE5025"/>
    <w:rsid w:val="00E214AC"/>
    <w:rsid w:val="00E56A95"/>
    <w:rsid w:val="00E72427"/>
    <w:rsid w:val="00E734FF"/>
    <w:rsid w:val="00E800EF"/>
    <w:rsid w:val="00EA1B39"/>
    <w:rsid w:val="00ED2C5E"/>
    <w:rsid w:val="00ED3ABD"/>
    <w:rsid w:val="00EE28D1"/>
    <w:rsid w:val="00EF7048"/>
    <w:rsid w:val="00F10F0C"/>
    <w:rsid w:val="00F16921"/>
    <w:rsid w:val="00F20D39"/>
    <w:rsid w:val="00F7137D"/>
    <w:rsid w:val="00F744AB"/>
    <w:rsid w:val="00FB2C7F"/>
    <w:rsid w:val="00FC1A9F"/>
    <w:rsid w:val="00FD63AF"/>
    <w:rsid w:val="00FF2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81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110299">
      <w:bodyDiv w:val="1"/>
      <w:marLeft w:val="0"/>
      <w:marRight w:val="0"/>
      <w:marTop w:val="0"/>
      <w:marBottom w:val="0"/>
      <w:divBdr>
        <w:top w:val="none" w:sz="0" w:space="0" w:color="auto"/>
        <w:left w:val="none" w:sz="0" w:space="0" w:color="auto"/>
        <w:bottom w:val="none" w:sz="0" w:space="0" w:color="auto"/>
        <w:right w:val="none" w:sz="0" w:space="0" w:color="auto"/>
      </w:divBdr>
      <w:divsChild>
        <w:div w:id="1953904030">
          <w:marLeft w:val="446"/>
          <w:marRight w:val="0"/>
          <w:marTop w:val="200"/>
          <w:marBottom w:val="0"/>
          <w:divBdr>
            <w:top w:val="none" w:sz="0" w:space="0" w:color="auto"/>
            <w:left w:val="none" w:sz="0" w:space="0" w:color="auto"/>
            <w:bottom w:val="none" w:sz="0" w:space="0" w:color="auto"/>
            <w:right w:val="none" w:sz="0" w:space="0" w:color="auto"/>
          </w:divBdr>
        </w:div>
        <w:div w:id="766199664">
          <w:marLeft w:val="446"/>
          <w:marRight w:val="0"/>
          <w:marTop w:val="200"/>
          <w:marBottom w:val="0"/>
          <w:divBdr>
            <w:top w:val="none" w:sz="0" w:space="0" w:color="auto"/>
            <w:left w:val="none" w:sz="0" w:space="0" w:color="auto"/>
            <w:bottom w:val="none" w:sz="0" w:space="0" w:color="auto"/>
            <w:right w:val="none" w:sz="0" w:space="0" w:color="auto"/>
          </w:divBdr>
        </w:div>
      </w:divsChild>
    </w:div>
    <w:div w:id="12268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tyles" Target="styles.xml"/><Relationship Id="rId7" Type="http://schemas.openxmlformats.org/officeDocument/2006/relationships/hyperlink" Target="mailto:Giorgio.rigali@lumina-intelligen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62E9-21F3-479C-8002-3404344B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2021-09-30T13:23:00Z</dcterms:created>
  <dcterms:modified xsi:type="dcterms:W3CDTF">2021-09-30T13:48:00Z</dcterms:modified>
</cp:coreProperties>
</file>