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142BF0"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129A69F" w:rsidR="00ED3ABD" w:rsidRPr="00550B08" w:rsidRDefault="00CD419B"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D05399">
        <w:rPr>
          <w:rStyle w:val="Hyperlink"/>
          <w:rFonts w:ascii="Arial" w:hAnsi="Arial" w:cs="Arial"/>
          <w:b/>
          <w:bCs/>
          <w:color w:val="505050"/>
          <w:sz w:val="18"/>
          <w:szCs w:val="18"/>
          <w:u w:val="none"/>
        </w:rPr>
        <w:t>7</w:t>
      </w:r>
      <w:r>
        <w:rPr>
          <w:rStyle w:val="Hyperlink"/>
          <w:rFonts w:ascii="Arial" w:hAnsi="Arial" w:cs="Arial"/>
          <w:b/>
          <w:bCs/>
          <w:color w:val="505050"/>
          <w:sz w:val="18"/>
          <w:szCs w:val="18"/>
          <w:u w:val="none"/>
        </w:rPr>
        <w:t xml:space="preserve"> </w:t>
      </w:r>
      <w:r w:rsidR="00D05399">
        <w:rPr>
          <w:rStyle w:val="Hyperlink"/>
          <w:rFonts w:ascii="Arial" w:hAnsi="Arial" w:cs="Arial"/>
          <w:b/>
          <w:bCs/>
          <w:color w:val="505050"/>
          <w:sz w:val="18"/>
          <w:szCs w:val="18"/>
          <w:u w:val="none"/>
        </w:rPr>
        <w:t>October</w:t>
      </w:r>
      <w:r>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776F54C6" w14:textId="1C949B22" w:rsidR="00856858" w:rsidRPr="00856858" w:rsidRDefault="00D05399" w:rsidP="00D05399">
      <w:pPr>
        <w:jc w:val="center"/>
        <w:rPr>
          <w:rFonts w:ascii="Arial" w:hAnsi="Arial" w:cs="Arial"/>
          <w:b/>
          <w:bCs/>
          <w:sz w:val="32"/>
          <w:szCs w:val="32"/>
        </w:rPr>
      </w:pPr>
      <w:r>
        <w:rPr>
          <w:rFonts w:ascii="Arial" w:hAnsi="Arial" w:cs="Arial"/>
          <w:b/>
          <w:bCs/>
          <w:sz w:val="32"/>
          <w:szCs w:val="32"/>
        </w:rPr>
        <w:t>T</w:t>
      </w:r>
      <w:r w:rsidRPr="00D05399">
        <w:rPr>
          <w:rFonts w:ascii="Arial" w:hAnsi="Arial" w:cs="Arial"/>
          <w:b/>
          <w:bCs/>
          <w:sz w:val="32"/>
          <w:szCs w:val="32"/>
        </w:rPr>
        <w:t>op 10</w:t>
      </w:r>
      <w:r>
        <w:rPr>
          <w:rFonts w:ascii="Arial" w:hAnsi="Arial" w:cs="Arial"/>
          <w:b/>
          <w:bCs/>
          <w:sz w:val="32"/>
          <w:szCs w:val="32"/>
        </w:rPr>
        <w:t xml:space="preserve"> </w:t>
      </w:r>
      <w:r w:rsidRPr="00D05399">
        <w:rPr>
          <w:rFonts w:ascii="Arial" w:hAnsi="Arial" w:cs="Arial"/>
          <w:b/>
          <w:bCs/>
          <w:sz w:val="32"/>
          <w:szCs w:val="32"/>
        </w:rPr>
        <w:t xml:space="preserve">contemporary </w:t>
      </w:r>
      <w:proofErr w:type="gramStart"/>
      <w:r w:rsidRPr="00D05399">
        <w:rPr>
          <w:rFonts w:ascii="Arial" w:hAnsi="Arial" w:cs="Arial"/>
          <w:b/>
          <w:bCs/>
          <w:sz w:val="32"/>
          <w:szCs w:val="32"/>
        </w:rPr>
        <w:t>fast food</w:t>
      </w:r>
      <w:proofErr w:type="gramEnd"/>
      <w:r w:rsidRPr="00D05399">
        <w:rPr>
          <w:rFonts w:ascii="Arial" w:hAnsi="Arial" w:cs="Arial"/>
          <w:b/>
          <w:bCs/>
          <w:sz w:val="32"/>
          <w:szCs w:val="32"/>
        </w:rPr>
        <w:t xml:space="preserve"> brands </w:t>
      </w:r>
      <w:r>
        <w:rPr>
          <w:rFonts w:ascii="Arial" w:hAnsi="Arial" w:cs="Arial"/>
          <w:b/>
          <w:bCs/>
          <w:sz w:val="32"/>
          <w:szCs w:val="32"/>
        </w:rPr>
        <w:t xml:space="preserve">to see turnover growth of </w:t>
      </w:r>
      <w:r w:rsidRPr="00D05399">
        <w:rPr>
          <w:rFonts w:ascii="Arial" w:hAnsi="Arial" w:cs="Arial"/>
          <w:b/>
          <w:bCs/>
          <w:sz w:val="32"/>
          <w:szCs w:val="32"/>
        </w:rPr>
        <w:t>+58.8%</w:t>
      </w:r>
      <w:r>
        <w:rPr>
          <w:rFonts w:ascii="Arial" w:hAnsi="Arial" w:cs="Arial"/>
          <w:b/>
          <w:bCs/>
          <w:sz w:val="32"/>
          <w:szCs w:val="32"/>
        </w:rPr>
        <w:t xml:space="preserve"> in 2021</w:t>
      </w:r>
    </w:p>
    <w:p w14:paraId="637CEAAF" w14:textId="1029DC09" w:rsidR="00D05399" w:rsidRDefault="009400D0" w:rsidP="00D05399">
      <w:pPr>
        <w:rPr>
          <w:rFonts w:ascii="Arial" w:hAnsi="Arial" w:cs="Arial"/>
          <w:sz w:val="20"/>
          <w:szCs w:val="20"/>
        </w:rPr>
      </w:pPr>
      <w:r w:rsidRPr="009400D0">
        <w:rPr>
          <w:rFonts w:ascii="Arial" w:hAnsi="Arial" w:cs="Arial"/>
          <w:sz w:val="20"/>
          <w:szCs w:val="20"/>
        </w:rPr>
        <w:t xml:space="preserve">According to the latest 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F1548">
        <w:rPr>
          <w:rFonts w:ascii="Arial" w:hAnsi="Arial" w:cs="Arial"/>
          <w:sz w:val="20"/>
          <w:szCs w:val="20"/>
        </w:rPr>
        <w:t>Operator Data Index, t</w:t>
      </w:r>
      <w:r w:rsidR="005F1548" w:rsidRPr="005F1548">
        <w:rPr>
          <w:rFonts w:ascii="Arial" w:hAnsi="Arial" w:cs="Arial"/>
          <w:sz w:val="20"/>
          <w:szCs w:val="20"/>
        </w:rPr>
        <w:t xml:space="preserve">he </w:t>
      </w:r>
      <w:r w:rsidR="00D05399">
        <w:rPr>
          <w:rFonts w:ascii="Arial" w:hAnsi="Arial" w:cs="Arial"/>
          <w:sz w:val="20"/>
          <w:szCs w:val="20"/>
        </w:rPr>
        <w:t>t</w:t>
      </w:r>
      <w:r w:rsidR="00D05399" w:rsidRPr="00D05399">
        <w:rPr>
          <w:rFonts w:ascii="Arial" w:hAnsi="Arial" w:cs="Arial"/>
          <w:sz w:val="20"/>
          <w:szCs w:val="20"/>
        </w:rPr>
        <w:t>urnover for the top 10</w:t>
      </w:r>
      <w:r w:rsidR="00D05399">
        <w:rPr>
          <w:rFonts w:ascii="Arial" w:hAnsi="Arial" w:cs="Arial"/>
          <w:sz w:val="20"/>
          <w:szCs w:val="20"/>
        </w:rPr>
        <w:t xml:space="preserve"> </w:t>
      </w:r>
      <w:r w:rsidR="00D05399" w:rsidRPr="00D05399">
        <w:rPr>
          <w:rFonts w:ascii="Arial" w:hAnsi="Arial" w:cs="Arial"/>
          <w:sz w:val="20"/>
          <w:szCs w:val="20"/>
        </w:rPr>
        <w:t xml:space="preserve">contemporary </w:t>
      </w:r>
      <w:proofErr w:type="gramStart"/>
      <w:r w:rsidR="00D05399" w:rsidRPr="00D05399">
        <w:rPr>
          <w:rFonts w:ascii="Arial" w:hAnsi="Arial" w:cs="Arial"/>
          <w:sz w:val="20"/>
          <w:szCs w:val="20"/>
        </w:rPr>
        <w:t>fast food</w:t>
      </w:r>
      <w:proofErr w:type="gramEnd"/>
      <w:r w:rsidR="00D05399" w:rsidRPr="00D05399">
        <w:rPr>
          <w:rFonts w:ascii="Arial" w:hAnsi="Arial" w:cs="Arial"/>
          <w:sz w:val="20"/>
          <w:szCs w:val="20"/>
        </w:rPr>
        <w:t xml:space="preserve"> brands is</w:t>
      </w:r>
      <w:r w:rsidR="00D05399">
        <w:rPr>
          <w:rFonts w:ascii="Arial" w:hAnsi="Arial" w:cs="Arial"/>
          <w:sz w:val="20"/>
          <w:szCs w:val="20"/>
        </w:rPr>
        <w:t xml:space="preserve"> </w:t>
      </w:r>
      <w:r w:rsidR="00D05399" w:rsidRPr="00D05399">
        <w:rPr>
          <w:rFonts w:ascii="Arial" w:hAnsi="Arial" w:cs="Arial"/>
          <w:sz w:val="20"/>
          <w:szCs w:val="20"/>
        </w:rPr>
        <w:t>expected to grow at a rate of</w:t>
      </w:r>
      <w:r w:rsidR="00D05399">
        <w:rPr>
          <w:rFonts w:ascii="Arial" w:hAnsi="Arial" w:cs="Arial"/>
          <w:sz w:val="20"/>
          <w:szCs w:val="20"/>
        </w:rPr>
        <w:t xml:space="preserve"> </w:t>
      </w:r>
      <w:r w:rsidR="00D05399" w:rsidRPr="00D05399">
        <w:rPr>
          <w:rFonts w:ascii="Arial" w:hAnsi="Arial" w:cs="Arial"/>
          <w:sz w:val="20"/>
          <w:szCs w:val="20"/>
        </w:rPr>
        <w:t>+58.8%, to £1,114m in</w:t>
      </w:r>
      <w:r w:rsidR="00D05399">
        <w:rPr>
          <w:rFonts w:ascii="Arial" w:hAnsi="Arial" w:cs="Arial"/>
          <w:sz w:val="20"/>
          <w:szCs w:val="20"/>
        </w:rPr>
        <w:t xml:space="preserve"> 2021. In the same period, outlet growth is expected to reach +8.8%.</w:t>
      </w:r>
    </w:p>
    <w:p w14:paraId="2294CCC1" w14:textId="7F865E2E" w:rsidR="0093033E" w:rsidRDefault="0093033E" w:rsidP="00D05399">
      <w:pPr>
        <w:rPr>
          <w:rFonts w:ascii="Arial" w:hAnsi="Arial" w:cs="Arial"/>
          <w:sz w:val="20"/>
          <w:szCs w:val="20"/>
        </w:rPr>
      </w:pPr>
      <w:r>
        <w:rPr>
          <w:rFonts w:ascii="Arial" w:hAnsi="Arial" w:cs="Arial"/>
          <w:sz w:val="20"/>
          <w:szCs w:val="20"/>
        </w:rPr>
        <w:t>Five Guys, Tortilla, German Doner Kebab and Coco di Mama are all set to fully recover and exceed their 2019 turnover values, however the five fastest growing brands by turnover versus 2020 are:</w:t>
      </w:r>
    </w:p>
    <w:tbl>
      <w:tblPr>
        <w:tblStyle w:val="TableGrid"/>
        <w:tblW w:w="0" w:type="auto"/>
        <w:tblLook w:val="04A0" w:firstRow="1" w:lastRow="0" w:firstColumn="1" w:lastColumn="0" w:noHBand="0" w:noVBand="1"/>
      </w:tblPr>
      <w:tblGrid>
        <w:gridCol w:w="1555"/>
        <w:gridCol w:w="850"/>
      </w:tblGrid>
      <w:tr w:rsidR="0093033E" w14:paraId="09F323D8" w14:textId="77777777" w:rsidTr="0093033E">
        <w:tc>
          <w:tcPr>
            <w:tcW w:w="1555" w:type="dxa"/>
          </w:tcPr>
          <w:p w14:paraId="03D27667" w14:textId="5E04A9DB" w:rsidR="0093033E" w:rsidRDefault="0093033E" w:rsidP="00D05399">
            <w:pPr>
              <w:rPr>
                <w:rFonts w:ascii="Arial" w:hAnsi="Arial" w:cs="Arial"/>
                <w:sz w:val="20"/>
                <w:szCs w:val="20"/>
              </w:rPr>
            </w:pPr>
            <w:r>
              <w:rPr>
                <w:rFonts w:ascii="Arial" w:hAnsi="Arial" w:cs="Arial"/>
                <w:sz w:val="20"/>
                <w:szCs w:val="20"/>
              </w:rPr>
              <w:t>Leon</w:t>
            </w:r>
          </w:p>
        </w:tc>
        <w:tc>
          <w:tcPr>
            <w:tcW w:w="850" w:type="dxa"/>
          </w:tcPr>
          <w:p w14:paraId="3C14EDCA" w14:textId="740CA430" w:rsidR="0093033E" w:rsidRDefault="0093033E" w:rsidP="00D05399">
            <w:pPr>
              <w:rPr>
                <w:rFonts w:ascii="Arial" w:hAnsi="Arial" w:cs="Arial"/>
                <w:sz w:val="20"/>
                <w:szCs w:val="20"/>
              </w:rPr>
            </w:pPr>
            <w:r>
              <w:rPr>
                <w:rFonts w:ascii="Arial" w:hAnsi="Arial" w:cs="Arial"/>
                <w:sz w:val="20"/>
                <w:szCs w:val="20"/>
              </w:rPr>
              <w:t>75.7%</w:t>
            </w:r>
          </w:p>
        </w:tc>
      </w:tr>
      <w:tr w:rsidR="0093033E" w14:paraId="0DBFA590" w14:textId="77777777" w:rsidTr="0093033E">
        <w:tc>
          <w:tcPr>
            <w:tcW w:w="1555" w:type="dxa"/>
          </w:tcPr>
          <w:p w14:paraId="4FB2D78E" w14:textId="35DE33CE" w:rsidR="0093033E" w:rsidRDefault="0093033E" w:rsidP="00D05399">
            <w:pPr>
              <w:rPr>
                <w:rFonts w:ascii="Arial" w:hAnsi="Arial" w:cs="Arial"/>
                <w:sz w:val="20"/>
                <w:szCs w:val="20"/>
              </w:rPr>
            </w:pPr>
            <w:proofErr w:type="spellStart"/>
            <w:r>
              <w:rPr>
                <w:rFonts w:ascii="Arial" w:hAnsi="Arial" w:cs="Arial"/>
                <w:sz w:val="20"/>
                <w:szCs w:val="20"/>
              </w:rPr>
              <w:t>Itsu</w:t>
            </w:r>
            <w:proofErr w:type="spellEnd"/>
            <w:r>
              <w:rPr>
                <w:rFonts w:ascii="Arial" w:hAnsi="Arial" w:cs="Arial"/>
                <w:sz w:val="20"/>
                <w:szCs w:val="20"/>
              </w:rPr>
              <w:t xml:space="preserve"> </w:t>
            </w:r>
          </w:p>
        </w:tc>
        <w:tc>
          <w:tcPr>
            <w:tcW w:w="850" w:type="dxa"/>
          </w:tcPr>
          <w:p w14:paraId="1B04445F" w14:textId="7ABB9492" w:rsidR="0093033E" w:rsidRDefault="0093033E" w:rsidP="00D05399">
            <w:pPr>
              <w:rPr>
                <w:rFonts w:ascii="Arial" w:hAnsi="Arial" w:cs="Arial"/>
                <w:sz w:val="20"/>
                <w:szCs w:val="20"/>
              </w:rPr>
            </w:pPr>
            <w:r>
              <w:rPr>
                <w:rFonts w:ascii="Arial" w:hAnsi="Arial" w:cs="Arial"/>
                <w:sz w:val="20"/>
                <w:szCs w:val="20"/>
              </w:rPr>
              <w:t>68.0%</w:t>
            </w:r>
          </w:p>
        </w:tc>
      </w:tr>
      <w:tr w:rsidR="0093033E" w14:paraId="1DD2ABCD" w14:textId="77777777" w:rsidTr="0093033E">
        <w:tc>
          <w:tcPr>
            <w:tcW w:w="1555" w:type="dxa"/>
          </w:tcPr>
          <w:p w14:paraId="0C3F4FDF" w14:textId="77A9A981" w:rsidR="0093033E" w:rsidRDefault="0093033E" w:rsidP="00D05399">
            <w:pPr>
              <w:rPr>
                <w:rFonts w:ascii="Arial" w:hAnsi="Arial" w:cs="Arial"/>
                <w:sz w:val="20"/>
                <w:szCs w:val="20"/>
              </w:rPr>
            </w:pPr>
            <w:proofErr w:type="spellStart"/>
            <w:r>
              <w:rPr>
                <w:rFonts w:ascii="Arial" w:hAnsi="Arial" w:cs="Arial"/>
                <w:sz w:val="20"/>
                <w:szCs w:val="20"/>
              </w:rPr>
              <w:t>Pret</w:t>
            </w:r>
            <w:proofErr w:type="spellEnd"/>
            <w:r>
              <w:rPr>
                <w:rFonts w:ascii="Arial" w:hAnsi="Arial" w:cs="Arial"/>
                <w:sz w:val="20"/>
                <w:szCs w:val="20"/>
              </w:rPr>
              <w:t xml:space="preserve"> a Manger</w:t>
            </w:r>
          </w:p>
        </w:tc>
        <w:tc>
          <w:tcPr>
            <w:tcW w:w="850" w:type="dxa"/>
          </w:tcPr>
          <w:p w14:paraId="73E7C738" w14:textId="383496F5" w:rsidR="0093033E" w:rsidRDefault="0093033E" w:rsidP="00D05399">
            <w:pPr>
              <w:rPr>
                <w:rFonts w:ascii="Arial" w:hAnsi="Arial" w:cs="Arial"/>
                <w:sz w:val="20"/>
                <w:szCs w:val="20"/>
              </w:rPr>
            </w:pPr>
            <w:r>
              <w:rPr>
                <w:rFonts w:ascii="Arial" w:hAnsi="Arial" w:cs="Arial"/>
                <w:sz w:val="20"/>
                <w:szCs w:val="20"/>
              </w:rPr>
              <w:t>63.9%</w:t>
            </w:r>
          </w:p>
        </w:tc>
      </w:tr>
      <w:tr w:rsidR="0093033E" w14:paraId="0E32C917" w14:textId="77777777" w:rsidTr="0093033E">
        <w:tc>
          <w:tcPr>
            <w:tcW w:w="1555" w:type="dxa"/>
          </w:tcPr>
          <w:p w14:paraId="3615A613" w14:textId="5AB72050" w:rsidR="0093033E" w:rsidRDefault="0093033E" w:rsidP="00D05399">
            <w:pPr>
              <w:rPr>
                <w:rFonts w:ascii="Arial" w:hAnsi="Arial" w:cs="Arial"/>
                <w:sz w:val="20"/>
                <w:szCs w:val="20"/>
              </w:rPr>
            </w:pPr>
            <w:r>
              <w:rPr>
                <w:rFonts w:ascii="Arial" w:hAnsi="Arial" w:cs="Arial"/>
                <w:sz w:val="20"/>
                <w:szCs w:val="20"/>
              </w:rPr>
              <w:t>Five Guys</w:t>
            </w:r>
          </w:p>
        </w:tc>
        <w:tc>
          <w:tcPr>
            <w:tcW w:w="850" w:type="dxa"/>
          </w:tcPr>
          <w:p w14:paraId="7790EF21" w14:textId="63727E2A" w:rsidR="0093033E" w:rsidRDefault="0093033E" w:rsidP="00D05399">
            <w:pPr>
              <w:rPr>
                <w:rFonts w:ascii="Arial" w:hAnsi="Arial" w:cs="Arial"/>
                <w:sz w:val="20"/>
                <w:szCs w:val="20"/>
              </w:rPr>
            </w:pPr>
            <w:r>
              <w:rPr>
                <w:rFonts w:ascii="Arial" w:hAnsi="Arial" w:cs="Arial"/>
                <w:sz w:val="20"/>
                <w:szCs w:val="20"/>
              </w:rPr>
              <w:t>60.2%</w:t>
            </w:r>
          </w:p>
        </w:tc>
      </w:tr>
      <w:tr w:rsidR="0093033E" w14:paraId="346311FE" w14:textId="77777777" w:rsidTr="0093033E">
        <w:tc>
          <w:tcPr>
            <w:tcW w:w="1555" w:type="dxa"/>
          </w:tcPr>
          <w:p w14:paraId="4D5933D2" w14:textId="4D7ABC76" w:rsidR="0093033E" w:rsidRDefault="0093033E" w:rsidP="00D05399">
            <w:pPr>
              <w:rPr>
                <w:rFonts w:ascii="Arial" w:hAnsi="Arial" w:cs="Arial"/>
                <w:sz w:val="20"/>
                <w:szCs w:val="20"/>
              </w:rPr>
            </w:pPr>
            <w:proofErr w:type="spellStart"/>
            <w:r>
              <w:rPr>
                <w:rFonts w:ascii="Arial" w:hAnsi="Arial" w:cs="Arial"/>
                <w:sz w:val="20"/>
                <w:szCs w:val="20"/>
              </w:rPr>
              <w:t>Chopstix</w:t>
            </w:r>
            <w:proofErr w:type="spellEnd"/>
          </w:p>
        </w:tc>
        <w:tc>
          <w:tcPr>
            <w:tcW w:w="850" w:type="dxa"/>
          </w:tcPr>
          <w:p w14:paraId="7225EF87" w14:textId="597C9A98" w:rsidR="0093033E" w:rsidRDefault="0093033E" w:rsidP="00D05399">
            <w:pPr>
              <w:rPr>
                <w:rFonts w:ascii="Arial" w:hAnsi="Arial" w:cs="Arial"/>
                <w:sz w:val="20"/>
                <w:szCs w:val="20"/>
              </w:rPr>
            </w:pPr>
            <w:r>
              <w:rPr>
                <w:rFonts w:ascii="Arial" w:hAnsi="Arial" w:cs="Arial"/>
                <w:sz w:val="20"/>
                <w:szCs w:val="20"/>
              </w:rPr>
              <w:t>47.6%</w:t>
            </w:r>
          </w:p>
        </w:tc>
      </w:tr>
    </w:tbl>
    <w:p w14:paraId="5F9F3B3F" w14:textId="77777777" w:rsidR="0093033E" w:rsidRDefault="0093033E" w:rsidP="00D05399">
      <w:pPr>
        <w:rPr>
          <w:rFonts w:ascii="Arial" w:hAnsi="Arial" w:cs="Arial"/>
          <w:sz w:val="20"/>
          <w:szCs w:val="20"/>
        </w:rPr>
      </w:pPr>
    </w:p>
    <w:p w14:paraId="315810C9" w14:textId="61F9DC62" w:rsidR="00D05399" w:rsidRDefault="00D9360E" w:rsidP="00D9360E">
      <w:pPr>
        <w:rPr>
          <w:rFonts w:ascii="Arial" w:hAnsi="Arial" w:cs="Arial"/>
          <w:sz w:val="20"/>
          <w:szCs w:val="20"/>
        </w:rPr>
      </w:pPr>
      <w:r w:rsidRPr="00D9360E">
        <w:rPr>
          <w:rFonts w:ascii="Arial" w:hAnsi="Arial" w:cs="Arial"/>
          <w:sz w:val="20"/>
          <w:szCs w:val="20"/>
        </w:rPr>
        <w:t xml:space="preserve">German Doner Kebab, Five Guys, Tortilla and </w:t>
      </w:r>
      <w:proofErr w:type="spellStart"/>
      <w:r w:rsidRPr="00D9360E">
        <w:rPr>
          <w:rFonts w:ascii="Arial" w:hAnsi="Arial" w:cs="Arial"/>
          <w:sz w:val="20"/>
          <w:szCs w:val="20"/>
        </w:rPr>
        <w:t>Kokoro</w:t>
      </w:r>
      <w:proofErr w:type="spellEnd"/>
      <w:r w:rsidRPr="00D9360E">
        <w:rPr>
          <w:rFonts w:ascii="Arial" w:hAnsi="Arial" w:cs="Arial"/>
          <w:sz w:val="20"/>
          <w:szCs w:val="20"/>
        </w:rPr>
        <w:t xml:space="preserve"> lead</w:t>
      </w:r>
      <w:r>
        <w:rPr>
          <w:rFonts w:ascii="Arial" w:hAnsi="Arial" w:cs="Arial"/>
          <w:sz w:val="20"/>
          <w:szCs w:val="20"/>
        </w:rPr>
        <w:t xml:space="preserve"> </w:t>
      </w:r>
      <w:r w:rsidRPr="00D9360E">
        <w:rPr>
          <w:rFonts w:ascii="Arial" w:hAnsi="Arial" w:cs="Arial"/>
          <w:sz w:val="20"/>
          <w:szCs w:val="20"/>
        </w:rPr>
        <w:t>forecasted outlet growth and have benefitted from strong performances in delivery channels, especially during the pandemic.</w:t>
      </w:r>
      <w:r>
        <w:rPr>
          <w:rFonts w:ascii="Arial" w:hAnsi="Arial" w:cs="Arial"/>
          <w:sz w:val="20"/>
          <w:szCs w:val="20"/>
        </w:rPr>
        <w:t xml:space="preserve"> </w:t>
      </w:r>
    </w:p>
    <w:p w14:paraId="6975A9A4" w14:textId="73E4B143" w:rsidR="00D9360E" w:rsidRDefault="00D9360E" w:rsidP="009400D0">
      <w:pPr>
        <w:rPr>
          <w:rFonts w:ascii="Arial" w:hAnsi="Arial" w:cs="Arial"/>
          <w:sz w:val="20"/>
          <w:szCs w:val="20"/>
        </w:rPr>
      </w:pPr>
      <w:r w:rsidRPr="00D9360E">
        <w:rPr>
          <w:rFonts w:ascii="Arial" w:hAnsi="Arial" w:cs="Arial"/>
          <w:sz w:val="20"/>
          <w:szCs w:val="20"/>
        </w:rPr>
        <w:t>German Doner Kebab is forecasted to lead percentage growth; the brand is expected to grow by +24 net new sites in</w:t>
      </w:r>
      <w:r>
        <w:rPr>
          <w:rFonts w:ascii="Arial" w:hAnsi="Arial" w:cs="Arial"/>
          <w:sz w:val="20"/>
          <w:szCs w:val="20"/>
        </w:rPr>
        <w:t xml:space="preserve"> </w:t>
      </w:r>
      <w:r w:rsidRPr="00D9360E">
        <w:rPr>
          <w:rFonts w:ascii="Arial" w:hAnsi="Arial" w:cs="Arial"/>
          <w:sz w:val="20"/>
          <w:szCs w:val="20"/>
        </w:rPr>
        <w:t>2021. The brand is driving outlet growth through its franchise model and focus on delivery. Tortilla is expected to grow notably</w:t>
      </w:r>
      <w:r>
        <w:rPr>
          <w:rFonts w:ascii="Arial" w:hAnsi="Arial" w:cs="Arial"/>
          <w:sz w:val="20"/>
          <w:szCs w:val="20"/>
        </w:rPr>
        <w:t xml:space="preserve"> </w:t>
      </w:r>
      <w:r w:rsidRPr="00D9360E">
        <w:rPr>
          <w:rFonts w:ascii="Arial" w:hAnsi="Arial" w:cs="Arial"/>
          <w:sz w:val="20"/>
          <w:szCs w:val="20"/>
        </w:rPr>
        <w:t>following strong delivery trading, as well as an upcoming IPO to help fund expansion.</w:t>
      </w:r>
    </w:p>
    <w:p w14:paraId="54C76DD3" w14:textId="61F0CBD3" w:rsidR="00832CF9" w:rsidRDefault="009400D0" w:rsidP="00142BF0">
      <w:pPr>
        <w:rPr>
          <w:rFonts w:ascii="Arial" w:hAnsi="Arial" w:cs="Arial"/>
          <w:i/>
          <w:iCs/>
          <w:sz w:val="20"/>
          <w:szCs w:val="20"/>
        </w:rPr>
      </w:pPr>
      <w:r w:rsidRPr="009400D0">
        <w:rPr>
          <w:rFonts w:ascii="Arial" w:hAnsi="Arial" w:cs="Arial"/>
          <w:sz w:val="20"/>
          <w:szCs w:val="20"/>
        </w:rPr>
        <w:t xml:space="preserve">Commenting on the results,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D51788">
        <w:rPr>
          <w:rFonts w:ascii="Arial" w:hAnsi="Arial" w:cs="Arial"/>
          <w:i/>
          <w:iCs/>
          <w:sz w:val="20"/>
          <w:szCs w:val="20"/>
        </w:rPr>
        <w:t xml:space="preserve">Due to the low contact and low ticket nature of fast-food, it remained one of the hospitality channels least impacted by the coronavirus pandemic, particularly for those brands that were able to lean more heavily on delivery capabilities. Despite being able to pivot business models accordingly, many </w:t>
      </w:r>
      <w:r w:rsidR="00142BF0">
        <w:rPr>
          <w:rFonts w:ascii="Arial" w:hAnsi="Arial" w:cs="Arial"/>
          <w:i/>
          <w:iCs/>
          <w:sz w:val="20"/>
          <w:szCs w:val="20"/>
        </w:rPr>
        <w:t>operators were impacted heavily by the rapid decline in city-centre footfall. However, b</w:t>
      </w:r>
      <w:r w:rsidR="00142BF0" w:rsidRPr="00142BF0">
        <w:rPr>
          <w:rFonts w:ascii="Arial" w:hAnsi="Arial" w:cs="Arial"/>
          <w:i/>
          <w:iCs/>
          <w:sz w:val="20"/>
          <w:szCs w:val="20"/>
        </w:rPr>
        <w:t>rands formerly dependent on lunchtime worker footfall have adapted to omnichannel trading in</w:t>
      </w:r>
      <w:r w:rsidR="00142BF0">
        <w:rPr>
          <w:rFonts w:ascii="Arial" w:hAnsi="Arial" w:cs="Arial"/>
          <w:i/>
          <w:iCs/>
          <w:sz w:val="20"/>
          <w:szCs w:val="20"/>
        </w:rPr>
        <w:t xml:space="preserve"> </w:t>
      </w:r>
      <w:r w:rsidR="00142BF0" w:rsidRPr="00142BF0">
        <w:rPr>
          <w:rFonts w:ascii="Arial" w:hAnsi="Arial" w:cs="Arial"/>
          <w:i/>
          <w:iCs/>
          <w:sz w:val="20"/>
          <w:szCs w:val="20"/>
        </w:rPr>
        <w:t>the past 18 months to survive. Coco di Mama is now predominantly a delivery concept, operating from ASK Italian and Zizzi</w:t>
      </w:r>
      <w:r w:rsidR="00142BF0">
        <w:rPr>
          <w:rFonts w:ascii="Arial" w:hAnsi="Arial" w:cs="Arial"/>
          <w:i/>
          <w:iCs/>
          <w:sz w:val="20"/>
          <w:szCs w:val="20"/>
        </w:rPr>
        <w:t xml:space="preserve"> </w:t>
      </w:r>
      <w:r w:rsidR="00142BF0" w:rsidRPr="00142BF0">
        <w:rPr>
          <w:rFonts w:ascii="Arial" w:hAnsi="Arial" w:cs="Arial"/>
          <w:i/>
          <w:iCs/>
          <w:sz w:val="20"/>
          <w:szCs w:val="20"/>
        </w:rPr>
        <w:t>sites, tapping into demand for lunch time occasions in suburban and commuter belt towns</w:t>
      </w:r>
      <w:r w:rsidR="00142BF0">
        <w:rPr>
          <w:rFonts w:ascii="Arial" w:hAnsi="Arial" w:cs="Arial"/>
          <w:i/>
          <w:iCs/>
          <w:sz w:val="20"/>
          <w:szCs w:val="20"/>
        </w:rPr>
        <w:t>.”</w:t>
      </w:r>
    </w:p>
    <w:p w14:paraId="6D3F34F0" w14:textId="617352C3" w:rsidR="003E204B" w:rsidRDefault="00B54F43" w:rsidP="009400D0">
      <w:pPr>
        <w:rPr>
          <w:rFonts w:ascii="Arial" w:hAnsi="Arial" w:cs="Arial"/>
          <w:b/>
          <w:bCs/>
        </w:rPr>
      </w:pPr>
      <w:r>
        <w:rPr>
          <w:rFonts w:ascii="Arial" w:hAnsi="Arial" w:cs="Arial"/>
          <w:sz w:val="20"/>
          <w:szCs w:val="20"/>
        </w:rPr>
        <w:t xml:space="preserve">Find out more about Lumina Intelligence’s </w:t>
      </w:r>
      <w:r w:rsidR="00DF6CC2">
        <w:rPr>
          <w:rFonts w:ascii="Arial" w:hAnsi="Arial" w:cs="Arial"/>
          <w:sz w:val="20"/>
          <w:szCs w:val="20"/>
        </w:rPr>
        <w:t>Operator Data Index</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9AF4682" w14:textId="77777777" w:rsidR="005F1548" w:rsidRPr="005F1548" w:rsidRDefault="005F1548" w:rsidP="005F1548">
      <w:pPr>
        <w:rPr>
          <w:rFonts w:ascii="Arial" w:hAnsi="Arial" w:cs="Arial"/>
          <w:sz w:val="20"/>
          <w:szCs w:val="20"/>
        </w:rPr>
      </w:pPr>
      <w:r w:rsidRPr="005F1548">
        <w:rPr>
          <w:rFonts w:ascii="Arial" w:hAnsi="Arial" w:cs="Arial"/>
          <w:sz w:val="20"/>
          <w:szCs w:val="20"/>
        </w:rPr>
        <w:t xml:space="preserve">The Lumina Intelligence Operator Data Index is a tool that tracks the performance of hospitality operators, providing market rankings based on turnover and outlet numbers, segmented by sub-channels. </w:t>
      </w:r>
    </w:p>
    <w:p w14:paraId="0430D547" w14:textId="77777777" w:rsidR="005F1548" w:rsidRPr="005F1548" w:rsidRDefault="005F1548" w:rsidP="005F1548">
      <w:pPr>
        <w:rPr>
          <w:rFonts w:ascii="Arial" w:hAnsi="Arial" w:cs="Arial"/>
          <w:sz w:val="20"/>
          <w:szCs w:val="20"/>
        </w:rPr>
      </w:pPr>
      <w:r w:rsidRPr="005F1548">
        <w:rPr>
          <w:rFonts w:ascii="Arial" w:hAnsi="Arial" w:cs="Arial"/>
          <w:sz w:val="20"/>
          <w:szCs w:val="20"/>
        </w:rPr>
        <w:t>Our Operator Data Index includes:</w:t>
      </w:r>
    </w:p>
    <w:p w14:paraId="6072B56B" w14:textId="23A954E1" w:rsidR="005F1548" w:rsidRPr="005F1548" w:rsidRDefault="005F1548" w:rsidP="005F1548">
      <w:pPr>
        <w:pStyle w:val="ListParagraph"/>
        <w:numPr>
          <w:ilvl w:val="0"/>
          <w:numId w:val="9"/>
        </w:numPr>
        <w:rPr>
          <w:rFonts w:ascii="Arial" w:hAnsi="Arial" w:cs="Arial"/>
          <w:sz w:val="20"/>
          <w:szCs w:val="20"/>
        </w:rPr>
      </w:pPr>
      <w:r w:rsidRPr="005F1548">
        <w:rPr>
          <w:rFonts w:ascii="Arial" w:hAnsi="Arial" w:cs="Arial"/>
          <w:sz w:val="20"/>
          <w:szCs w:val="20"/>
        </w:rPr>
        <w:t>Comprehensive data on 700+ leading UK hospitality operators</w:t>
      </w:r>
    </w:p>
    <w:p w14:paraId="77EBD53D" w14:textId="1342C3AC" w:rsidR="005F1548" w:rsidRPr="005F1548" w:rsidRDefault="005F1548" w:rsidP="005F1548">
      <w:pPr>
        <w:pStyle w:val="ListParagraph"/>
        <w:numPr>
          <w:ilvl w:val="0"/>
          <w:numId w:val="9"/>
        </w:numPr>
        <w:rPr>
          <w:rFonts w:ascii="Arial" w:hAnsi="Arial" w:cs="Arial"/>
          <w:sz w:val="20"/>
          <w:szCs w:val="20"/>
        </w:rPr>
      </w:pPr>
      <w:r w:rsidRPr="005F1548">
        <w:rPr>
          <w:rFonts w:ascii="Arial" w:hAnsi="Arial" w:cs="Arial"/>
          <w:sz w:val="20"/>
          <w:szCs w:val="20"/>
        </w:rPr>
        <w:t>Access market rankings, sales and outlet counts and monthly analysis presentations.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142BF0"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34B6F"/>
    <w:rsid w:val="00142BF0"/>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63346"/>
    <w:rsid w:val="003C4BB2"/>
    <w:rsid w:val="003E204B"/>
    <w:rsid w:val="00414095"/>
    <w:rsid w:val="0041755B"/>
    <w:rsid w:val="0044412F"/>
    <w:rsid w:val="004B3902"/>
    <w:rsid w:val="004C063F"/>
    <w:rsid w:val="004D23F6"/>
    <w:rsid w:val="004E551E"/>
    <w:rsid w:val="004F1FF8"/>
    <w:rsid w:val="00520307"/>
    <w:rsid w:val="00550B08"/>
    <w:rsid w:val="0055150D"/>
    <w:rsid w:val="00553497"/>
    <w:rsid w:val="00566CAE"/>
    <w:rsid w:val="005A2368"/>
    <w:rsid w:val="005B7E51"/>
    <w:rsid w:val="005F1548"/>
    <w:rsid w:val="00604B4A"/>
    <w:rsid w:val="0061620B"/>
    <w:rsid w:val="00624D3B"/>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32CF9"/>
    <w:rsid w:val="00846DDB"/>
    <w:rsid w:val="00856858"/>
    <w:rsid w:val="00862CCB"/>
    <w:rsid w:val="00882EC4"/>
    <w:rsid w:val="008A46AD"/>
    <w:rsid w:val="008C2F28"/>
    <w:rsid w:val="008D4655"/>
    <w:rsid w:val="008D5C4F"/>
    <w:rsid w:val="008E1A01"/>
    <w:rsid w:val="008E317A"/>
    <w:rsid w:val="008E5A63"/>
    <w:rsid w:val="0093033E"/>
    <w:rsid w:val="009400D0"/>
    <w:rsid w:val="00970A81"/>
    <w:rsid w:val="009A6775"/>
    <w:rsid w:val="009C3668"/>
    <w:rsid w:val="009C613A"/>
    <w:rsid w:val="009D1543"/>
    <w:rsid w:val="00A70FE3"/>
    <w:rsid w:val="00A90A13"/>
    <w:rsid w:val="00A935A1"/>
    <w:rsid w:val="00AA4D4A"/>
    <w:rsid w:val="00AD236E"/>
    <w:rsid w:val="00AE6B2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77C17"/>
    <w:rsid w:val="00C86028"/>
    <w:rsid w:val="00CA6670"/>
    <w:rsid w:val="00CD419B"/>
    <w:rsid w:val="00CE6B8A"/>
    <w:rsid w:val="00D05399"/>
    <w:rsid w:val="00D25202"/>
    <w:rsid w:val="00D308D1"/>
    <w:rsid w:val="00D51788"/>
    <w:rsid w:val="00D7181B"/>
    <w:rsid w:val="00D9360E"/>
    <w:rsid w:val="00DB062C"/>
    <w:rsid w:val="00DF6CC2"/>
    <w:rsid w:val="00E214AC"/>
    <w:rsid w:val="00E25B65"/>
    <w:rsid w:val="00E56A95"/>
    <w:rsid w:val="00E72427"/>
    <w:rsid w:val="00E734FF"/>
    <w:rsid w:val="00E800EF"/>
    <w:rsid w:val="00EA1B39"/>
    <w:rsid w:val="00EB365A"/>
    <w:rsid w:val="00ED2C5E"/>
    <w:rsid w:val="00ED3ABD"/>
    <w:rsid w:val="00EE28D1"/>
    <w:rsid w:val="00EF7048"/>
    <w:rsid w:val="00F10F0C"/>
    <w:rsid w:val="00F16921"/>
    <w:rsid w:val="00F744AB"/>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table" w:styleId="TableGrid">
    <w:name w:val="Table Grid"/>
    <w:basedOn w:val="TableNormal"/>
    <w:uiPriority w:val="39"/>
    <w:rsid w:val="0093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2021-10-05T12:37:00Z</dcterms:created>
  <dcterms:modified xsi:type="dcterms:W3CDTF">2021-10-05T12:37:00Z</dcterms:modified>
</cp:coreProperties>
</file>