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753B86"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F778887" w:rsidR="00ED3ABD" w:rsidRPr="00550B08" w:rsidRDefault="00B0785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12</w:t>
      </w:r>
      <w:r w:rsidR="00AB3399">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October</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7E9E7172" w:rsidR="0055150D" w:rsidRPr="00DB2AFC" w:rsidRDefault="00B07852" w:rsidP="00DB2AFC">
      <w:pPr>
        <w:jc w:val="center"/>
        <w:rPr>
          <w:rFonts w:ascii="Arial" w:hAnsi="Arial" w:cs="Arial"/>
          <w:b/>
          <w:bCs/>
          <w:sz w:val="32"/>
          <w:szCs w:val="32"/>
        </w:rPr>
      </w:pPr>
      <w:r>
        <w:rPr>
          <w:rFonts w:ascii="Arial" w:hAnsi="Arial" w:cs="Arial"/>
          <w:b/>
          <w:bCs/>
          <w:sz w:val="32"/>
          <w:szCs w:val="32"/>
        </w:rPr>
        <w:t>Food to go still accounts for one-in-four eating out occasions</w:t>
      </w:r>
    </w:p>
    <w:p w14:paraId="74AF2F31" w14:textId="628523E3" w:rsidR="000F6D15" w:rsidRPr="000F6D15" w:rsidRDefault="007446FD" w:rsidP="000F6D15">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w:t>
      </w:r>
      <w:r w:rsidR="000F6D15">
        <w:rPr>
          <w:rFonts w:ascii="Arial" w:hAnsi="Arial" w:cs="Arial"/>
          <w:sz w:val="20"/>
          <w:szCs w:val="20"/>
        </w:rPr>
        <w:t>latest quarterly update to the</w:t>
      </w:r>
      <w:r w:rsidR="00DB2AFC">
        <w:rPr>
          <w:rFonts w:ascii="Arial" w:hAnsi="Arial" w:cs="Arial"/>
          <w:sz w:val="20"/>
          <w:szCs w:val="20"/>
        </w:rPr>
        <w:t xml:space="preserve"> Lumina Intelligence UK Food To Go Market Report 202</w:t>
      </w:r>
      <w:r w:rsidR="00D36AF3">
        <w:rPr>
          <w:rFonts w:ascii="Arial" w:hAnsi="Arial" w:cs="Arial"/>
          <w:sz w:val="20"/>
          <w:szCs w:val="20"/>
        </w:rPr>
        <w:t xml:space="preserve">1, </w:t>
      </w:r>
      <w:r w:rsidR="000F6D15">
        <w:rPr>
          <w:rFonts w:ascii="Arial" w:hAnsi="Arial" w:cs="Arial"/>
          <w:sz w:val="20"/>
          <w:szCs w:val="20"/>
        </w:rPr>
        <w:t>o</w:t>
      </w:r>
      <w:r w:rsidR="000F6D15" w:rsidRPr="000F6D15">
        <w:rPr>
          <w:rFonts w:ascii="Arial" w:hAnsi="Arial" w:cs="Arial"/>
          <w:sz w:val="20"/>
          <w:szCs w:val="20"/>
        </w:rPr>
        <w:t>ver 1 in 4</w:t>
      </w:r>
      <w:r w:rsidR="000F6D15">
        <w:rPr>
          <w:rFonts w:ascii="Arial" w:hAnsi="Arial" w:cs="Arial"/>
          <w:sz w:val="20"/>
          <w:szCs w:val="20"/>
        </w:rPr>
        <w:t xml:space="preserve"> (28%)</w:t>
      </w:r>
      <w:r w:rsidR="000F6D15" w:rsidRPr="000F6D15">
        <w:rPr>
          <w:rFonts w:ascii="Arial" w:hAnsi="Arial" w:cs="Arial"/>
          <w:sz w:val="20"/>
          <w:szCs w:val="20"/>
        </w:rPr>
        <w:t xml:space="preserve"> visits made to a foodservice operator</w:t>
      </w:r>
      <w:r w:rsidR="000F6D15">
        <w:rPr>
          <w:rFonts w:ascii="Arial" w:hAnsi="Arial" w:cs="Arial"/>
          <w:sz w:val="20"/>
          <w:szCs w:val="20"/>
        </w:rPr>
        <w:t xml:space="preserve"> in the 12 WE 05/09/2021</w:t>
      </w:r>
      <w:r w:rsidR="000F6D15" w:rsidRPr="000F6D15">
        <w:rPr>
          <w:rFonts w:ascii="Arial" w:hAnsi="Arial" w:cs="Arial"/>
          <w:sz w:val="20"/>
          <w:szCs w:val="20"/>
        </w:rPr>
        <w:t xml:space="preserve"> were consumed on the go.</w:t>
      </w:r>
    </w:p>
    <w:p w14:paraId="28DC8897" w14:textId="77777777" w:rsidR="000F6D15" w:rsidRDefault="000F6D15" w:rsidP="000F6D15">
      <w:pPr>
        <w:rPr>
          <w:rFonts w:ascii="Arial" w:hAnsi="Arial" w:cs="Arial"/>
          <w:sz w:val="20"/>
          <w:szCs w:val="20"/>
        </w:rPr>
      </w:pPr>
      <w:r w:rsidRPr="000F6D15">
        <w:rPr>
          <w:rFonts w:ascii="Arial" w:hAnsi="Arial" w:cs="Arial"/>
          <w:sz w:val="20"/>
          <w:szCs w:val="20"/>
        </w:rPr>
        <w:t>This is down from 1 in 3 in the</w:t>
      </w:r>
      <w:r>
        <w:rPr>
          <w:rFonts w:ascii="Arial" w:hAnsi="Arial" w:cs="Arial"/>
          <w:sz w:val="20"/>
          <w:szCs w:val="20"/>
        </w:rPr>
        <w:t xml:space="preserve"> </w:t>
      </w:r>
      <w:r w:rsidRPr="000F6D15">
        <w:rPr>
          <w:rFonts w:ascii="Arial" w:hAnsi="Arial" w:cs="Arial"/>
          <w:sz w:val="20"/>
          <w:szCs w:val="20"/>
        </w:rPr>
        <w:t xml:space="preserve">previous </w:t>
      </w:r>
      <w:r>
        <w:rPr>
          <w:rFonts w:ascii="Arial" w:hAnsi="Arial" w:cs="Arial"/>
          <w:sz w:val="20"/>
          <w:szCs w:val="20"/>
        </w:rPr>
        <w:t>12 weeks</w:t>
      </w:r>
      <w:r w:rsidRPr="000F6D15">
        <w:rPr>
          <w:rFonts w:ascii="Arial" w:hAnsi="Arial" w:cs="Arial"/>
          <w:sz w:val="20"/>
          <w:szCs w:val="20"/>
        </w:rPr>
        <w:t xml:space="preserve">. As restrictions have eased, consumers have moved more to on premise drinking and dining. </w:t>
      </w:r>
    </w:p>
    <w:p w14:paraId="58DA3542" w14:textId="53588380" w:rsidR="000F6D15" w:rsidRDefault="000F6D15" w:rsidP="000F6D15">
      <w:pPr>
        <w:rPr>
          <w:rFonts w:ascii="Arial" w:hAnsi="Arial" w:cs="Arial"/>
          <w:sz w:val="20"/>
          <w:szCs w:val="20"/>
        </w:rPr>
      </w:pPr>
      <w:r>
        <w:rPr>
          <w:rFonts w:ascii="Arial" w:hAnsi="Arial" w:cs="Arial"/>
          <w:sz w:val="20"/>
          <w:szCs w:val="20"/>
        </w:rPr>
        <w:t>The places food to go is mostly to be consumed is:</w:t>
      </w:r>
    </w:p>
    <w:tbl>
      <w:tblPr>
        <w:tblStyle w:val="TableGrid"/>
        <w:tblW w:w="0" w:type="auto"/>
        <w:tblLook w:val="04A0" w:firstRow="1" w:lastRow="0" w:firstColumn="1" w:lastColumn="0" w:noHBand="0" w:noVBand="1"/>
      </w:tblPr>
      <w:tblGrid>
        <w:gridCol w:w="3539"/>
        <w:gridCol w:w="567"/>
      </w:tblGrid>
      <w:tr w:rsidR="000F6D15" w14:paraId="1225646B" w14:textId="77777777" w:rsidTr="000F6D15">
        <w:tc>
          <w:tcPr>
            <w:tcW w:w="3539" w:type="dxa"/>
          </w:tcPr>
          <w:p w14:paraId="0B884FFA" w14:textId="6F0E7F7B" w:rsidR="000F6D15" w:rsidRDefault="000F6D15" w:rsidP="000F6D15">
            <w:pPr>
              <w:rPr>
                <w:rFonts w:ascii="Arial" w:hAnsi="Arial" w:cs="Arial"/>
                <w:sz w:val="20"/>
                <w:szCs w:val="20"/>
              </w:rPr>
            </w:pPr>
            <w:r w:rsidRPr="000F6D15">
              <w:rPr>
                <w:rFonts w:ascii="Arial" w:hAnsi="Arial" w:cs="Arial"/>
                <w:sz w:val="20"/>
                <w:szCs w:val="20"/>
              </w:rPr>
              <w:t>Sitting down somewhere, e.g. a park</w:t>
            </w:r>
          </w:p>
        </w:tc>
        <w:tc>
          <w:tcPr>
            <w:tcW w:w="567" w:type="dxa"/>
          </w:tcPr>
          <w:p w14:paraId="0770EC49" w14:textId="7D5A6EE8" w:rsidR="000F6D15" w:rsidRDefault="000F6D15" w:rsidP="000F6D15">
            <w:pPr>
              <w:rPr>
                <w:rFonts w:ascii="Arial" w:hAnsi="Arial" w:cs="Arial"/>
                <w:sz w:val="20"/>
                <w:szCs w:val="20"/>
              </w:rPr>
            </w:pPr>
            <w:r>
              <w:rPr>
                <w:rFonts w:ascii="Arial" w:hAnsi="Arial" w:cs="Arial"/>
                <w:sz w:val="20"/>
                <w:szCs w:val="20"/>
              </w:rPr>
              <w:t>8%</w:t>
            </w:r>
          </w:p>
        </w:tc>
      </w:tr>
      <w:tr w:rsidR="000F6D15" w14:paraId="39AACF8B" w14:textId="77777777" w:rsidTr="000F6D15">
        <w:tc>
          <w:tcPr>
            <w:tcW w:w="3539" w:type="dxa"/>
          </w:tcPr>
          <w:p w14:paraId="3F8A23AE" w14:textId="157783DF" w:rsidR="000F6D15" w:rsidRDefault="000F6D15" w:rsidP="000F6D15">
            <w:pPr>
              <w:rPr>
                <w:rFonts w:ascii="Arial" w:hAnsi="Arial" w:cs="Arial"/>
                <w:sz w:val="20"/>
                <w:szCs w:val="20"/>
              </w:rPr>
            </w:pPr>
            <w:r w:rsidRPr="000F6D15">
              <w:rPr>
                <w:rFonts w:ascii="Arial" w:hAnsi="Arial" w:cs="Arial"/>
                <w:sz w:val="20"/>
                <w:szCs w:val="20"/>
              </w:rPr>
              <w:t>In a car, train, or bus</w:t>
            </w:r>
          </w:p>
        </w:tc>
        <w:tc>
          <w:tcPr>
            <w:tcW w:w="567" w:type="dxa"/>
          </w:tcPr>
          <w:p w14:paraId="318796A4" w14:textId="55C7A1C6" w:rsidR="000F6D15" w:rsidRDefault="000F6D15" w:rsidP="000F6D15">
            <w:pPr>
              <w:rPr>
                <w:rFonts w:ascii="Arial" w:hAnsi="Arial" w:cs="Arial"/>
                <w:sz w:val="20"/>
                <w:szCs w:val="20"/>
              </w:rPr>
            </w:pPr>
            <w:r>
              <w:rPr>
                <w:rFonts w:ascii="Arial" w:hAnsi="Arial" w:cs="Arial"/>
                <w:sz w:val="20"/>
                <w:szCs w:val="20"/>
              </w:rPr>
              <w:t>8%</w:t>
            </w:r>
          </w:p>
        </w:tc>
      </w:tr>
      <w:tr w:rsidR="000F6D15" w14:paraId="40BBE143" w14:textId="77777777" w:rsidTr="000F6D15">
        <w:tc>
          <w:tcPr>
            <w:tcW w:w="3539" w:type="dxa"/>
          </w:tcPr>
          <w:p w14:paraId="68E8E9A6" w14:textId="532C77D9" w:rsidR="000F6D15" w:rsidRDefault="000F6D15" w:rsidP="000F6D15">
            <w:pPr>
              <w:rPr>
                <w:rFonts w:ascii="Arial" w:hAnsi="Arial" w:cs="Arial"/>
                <w:sz w:val="20"/>
                <w:szCs w:val="20"/>
              </w:rPr>
            </w:pPr>
            <w:r w:rsidRPr="000F6D15">
              <w:rPr>
                <w:rFonts w:ascii="Arial" w:hAnsi="Arial" w:cs="Arial"/>
                <w:sz w:val="20"/>
                <w:szCs w:val="20"/>
              </w:rPr>
              <w:t>While walking around</w:t>
            </w:r>
          </w:p>
        </w:tc>
        <w:tc>
          <w:tcPr>
            <w:tcW w:w="567" w:type="dxa"/>
          </w:tcPr>
          <w:p w14:paraId="4A58838F" w14:textId="243CEE02" w:rsidR="000F6D15" w:rsidRDefault="000F6D15" w:rsidP="000F6D15">
            <w:pPr>
              <w:rPr>
                <w:rFonts w:ascii="Arial" w:hAnsi="Arial" w:cs="Arial"/>
                <w:sz w:val="20"/>
                <w:szCs w:val="20"/>
              </w:rPr>
            </w:pPr>
            <w:r>
              <w:rPr>
                <w:rFonts w:ascii="Arial" w:hAnsi="Arial" w:cs="Arial"/>
                <w:sz w:val="20"/>
                <w:szCs w:val="20"/>
              </w:rPr>
              <w:t>7%</w:t>
            </w:r>
          </w:p>
        </w:tc>
      </w:tr>
      <w:tr w:rsidR="000F6D15" w14:paraId="653ABC3D" w14:textId="77777777" w:rsidTr="000F6D15">
        <w:tc>
          <w:tcPr>
            <w:tcW w:w="3539" w:type="dxa"/>
          </w:tcPr>
          <w:p w14:paraId="02BD98CA" w14:textId="542B27FF" w:rsidR="000F6D15" w:rsidRDefault="000F6D15" w:rsidP="000F6D15">
            <w:pPr>
              <w:rPr>
                <w:rFonts w:ascii="Arial" w:hAnsi="Arial" w:cs="Arial"/>
                <w:sz w:val="20"/>
                <w:szCs w:val="20"/>
              </w:rPr>
            </w:pPr>
            <w:r w:rsidRPr="000F6D15">
              <w:rPr>
                <w:rFonts w:ascii="Arial" w:hAnsi="Arial" w:cs="Arial"/>
                <w:sz w:val="20"/>
                <w:szCs w:val="20"/>
              </w:rPr>
              <w:t>At work</w:t>
            </w:r>
          </w:p>
        </w:tc>
        <w:tc>
          <w:tcPr>
            <w:tcW w:w="567" w:type="dxa"/>
          </w:tcPr>
          <w:p w14:paraId="3E9B41DE" w14:textId="60180684" w:rsidR="000F6D15" w:rsidRDefault="000F6D15" w:rsidP="000F6D15">
            <w:pPr>
              <w:rPr>
                <w:rFonts w:ascii="Arial" w:hAnsi="Arial" w:cs="Arial"/>
                <w:sz w:val="20"/>
                <w:szCs w:val="20"/>
              </w:rPr>
            </w:pPr>
            <w:r>
              <w:rPr>
                <w:rFonts w:ascii="Arial" w:hAnsi="Arial" w:cs="Arial"/>
                <w:sz w:val="20"/>
                <w:szCs w:val="20"/>
              </w:rPr>
              <w:t>6%</w:t>
            </w:r>
          </w:p>
        </w:tc>
      </w:tr>
    </w:tbl>
    <w:p w14:paraId="05B9A530" w14:textId="2F98AFEC" w:rsidR="000F6D15" w:rsidRDefault="000F6D15" w:rsidP="000F6D15">
      <w:pPr>
        <w:rPr>
          <w:rFonts w:ascii="Arial" w:hAnsi="Arial" w:cs="Arial"/>
          <w:sz w:val="20"/>
          <w:szCs w:val="20"/>
        </w:rPr>
      </w:pPr>
    </w:p>
    <w:p w14:paraId="0FA1B0CD" w14:textId="3C4EF088" w:rsidR="00F91EFC" w:rsidRDefault="00F91EFC" w:rsidP="00F91EFC">
      <w:pPr>
        <w:rPr>
          <w:rFonts w:ascii="Arial" w:hAnsi="Arial" w:cs="Arial"/>
          <w:sz w:val="20"/>
          <w:szCs w:val="20"/>
        </w:rPr>
      </w:pPr>
      <w:r w:rsidRPr="00F91EFC">
        <w:rPr>
          <w:rFonts w:ascii="Arial" w:hAnsi="Arial" w:cs="Arial"/>
          <w:sz w:val="20"/>
          <w:szCs w:val="20"/>
        </w:rPr>
        <w:t>Food to go consumers are more likely to be ABC1 (64% vs 36%), to be aged 25</w:t>
      </w:r>
      <w:r>
        <w:rPr>
          <w:rFonts w:ascii="Arial" w:hAnsi="Arial" w:cs="Arial"/>
          <w:sz w:val="20"/>
          <w:szCs w:val="20"/>
        </w:rPr>
        <w:t>-</w:t>
      </w:r>
      <w:r w:rsidRPr="00F91EFC">
        <w:rPr>
          <w:rFonts w:ascii="Arial" w:hAnsi="Arial" w:cs="Arial"/>
          <w:sz w:val="20"/>
          <w:szCs w:val="20"/>
        </w:rPr>
        <w:t>34 (27%), to be female (55% vs 45%) and to be</w:t>
      </w:r>
      <w:r>
        <w:rPr>
          <w:rFonts w:ascii="Arial" w:hAnsi="Arial" w:cs="Arial"/>
          <w:sz w:val="20"/>
          <w:szCs w:val="20"/>
        </w:rPr>
        <w:t xml:space="preserve"> </w:t>
      </w:r>
      <w:r w:rsidRPr="00F91EFC">
        <w:rPr>
          <w:rFonts w:ascii="Arial" w:hAnsi="Arial" w:cs="Arial"/>
          <w:sz w:val="20"/>
          <w:szCs w:val="20"/>
        </w:rPr>
        <w:t>in London (17%) or the South East (12%).</w:t>
      </w:r>
    </w:p>
    <w:p w14:paraId="3D8423B8" w14:textId="145A611A" w:rsidR="00F91EFC" w:rsidRDefault="00F91EFC" w:rsidP="00F91EFC">
      <w:pPr>
        <w:rPr>
          <w:rFonts w:ascii="Arial" w:hAnsi="Arial" w:cs="Arial"/>
          <w:sz w:val="20"/>
          <w:szCs w:val="20"/>
        </w:rPr>
      </w:pPr>
      <w:r w:rsidRPr="00F91EFC">
        <w:rPr>
          <w:rFonts w:ascii="Arial" w:hAnsi="Arial" w:cs="Arial"/>
          <w:sz w:val="20"/>
          <w:szCs w:val="20"/>
        </w:rPr>
        <w:t>“Was out and about” is the leading mission (22%) driving FTG occasions.</w:t>
      </w:r>
      <w:r>
        <w:rPr>
          <w:rFonts w:ascii="Arial" w:hAnsi="Arial" w:cs="Arial"/>
          <w:sz w:val="20"/>
          <w:szCs w:val="20"/>
        </w:rPr>
        <w:t xml:space="preserve"> </w:t>
      </w:r>
      <w:r w:rsidRPr="00F91EFC">
        <w:rPr>
          <w:rFonts w:ascii="Arial" w:hAnsi="Arial" w:cs="Arial"/>
          <w:sz w:val="20"/>
          <w:szCs w:val="20"/>
        </w:rPr>
        <w:t>This is likely to increase further as consumers become</w:t>
      </w:r>
      <w:r>
        <w:rPr>
          <w:rFonts w:ascii="Arial" w:hAnsi="Arial" w:cs="Arial"/>
          <w:sz w:val="20"/>
          <w:szCs w:val="20"/>
        </w:rPr>
        <w:t xml:space="preserve"> </w:t>
      </w:r>
      <w:r w:rsidRPr="00F91EFC">
        <w:rPr>
          <w:rFonts w:ascii="Arial" w:hAnsi="Arial" w:cs="Arial"/>
          <w:sz w:val="20"/>
          <w:szCs w:val="20"/>
        </w:rPr>
        <w:t>more confident post vaccination. A treat is the second largest occasion at 14%, displaying the opportunity for operators to introduce more</w:t>
      </w:r>
      <w:r>
        <w:rPr>
          <w:rFonts w:ascii="Arial" w:hAnsi="Arial" w:cs="Arial"/>
          <w:sz w:val="20"/>
          <w:szCs w:val="20"/>
        </w:rPr>
        <w:t xml:space="preserve"> </w:t>
      </w:r>
      <w:r w:rsidRPr="00F91EFC">
        <w:rPr>
          <w:rFonts w:ascii="Arial" w:hAnsi="Arial" w:cs="Arial"/>
          <w:sz w:val="20"/>
          <w:szCs w:val="20"/>
        </w:rPr>
        <w:t>premium ranges to drive upsell and increase consumer spend.</w:t>
      </w:r>
    </w:p>
    <w:p w14:paraId="6A4BE7E7" w14:textId="5619D095" w:rsidR="00F91EFC" w:rsidRDefault="00F91EFC" w:rsidP="00F91EFC">
      <w:pPr>
        <w:rPr>
          <w:rFonts w:ascii="Arial" w:hAnsi="Arial" w:cs="Arial"/>
          <w:sz w:val="20"/>
          <w:szCs w:val="20"/>
        </w:rPr>
      </w:pPr>
      <w:r w:rsidRPr="00F91EFC">
        <w:rPr>
          <w:rFonts w:ascii="Arial" w:hAnsi="Arial" w:cs="Arial"/>
          <w:sz w:val="20"/>
          <w:szCs w:val="20"/>
        </w:rPr>
        <w:t>The vast majority (78%) of food led food to go visits continue to include savoury food. Options which are easy to</w:t>
      </w:r>
      <w:r>
        <w:rPr>
          <w:rFonts w:ascii="Arial" w:hAnsi="Arial" w:cs="Arial"/>
          <w:sz w:val="20"/>
          <w:szCs w:val="20"/>
        </w:rPr>
        <w:t xml:space="preserve"> </w:t>
      </w:r>
      <w:r w:rsidRPr="00F91EFC">
        <w:rPr>
          <w:rFonts w:ascii="Arial" w:hAnsi="Arial" w:cs="Arial"/>
          <w:sz w:val="20"/>
          <w:szCs w:val="20"/>
        </w:rPr>
        <w:t>eat on the go, such as sandwiches, wraps and burgers are preferred by consumers. The most purchased options include</w:t>
      </w:r>
      <w:r>
        <w:rPr>
          <w:rFonts w:ascii="Arial" w:hAnsi="Arial" w:cs="Arial"/>
          <w:sz w:val="20"/>
          <w:szCs w:val="20"/>
        </w:rPr>
        <w:t xml:space="preserve"> </w:t>
      </w:r>
      <w:r w:rsidRPr="00F91EFC">
        <w:rPr>
          <w:rFonts w:ascii="Arial" w:hAnsi="Arial" w:cs="Arial"/>
          <w:sz w:val="20"/>
          <w:szCs w:val="20"/>
        </w:rPr>
        <w:t>sandwiches/wraps, burgers and fries driven by the brands dominating the market</w:t>
      </w:r>
      <w:r>
        <w:rPr>
          <w:rFonts w:ascii="Arial" w:hAnsi="Arial" w:cs="Arial"/>
          <w:sz w:val="20"/>
          <w:szCs w:val="20"/>
        </w:rPr>
        <w:t>.</w:t>
      </w:r>
    </w:p>
    <w:p w14:paraId="7764F11C" w14:textId="5D8CC19B" w:rsidR="000F6D15" w:rsidRDefault="00F91EFC" w:rsidP="008E5A63">
      <w:pPr>
        <w:rPr>
          <w:rFonts w:ascii="Arial" w:hAnsi="Arial" w:cs="Arial"/>
          <w:sz w:val="20"/>
          <w:szCs w:val="20"/>
        </w:rPr>
      </w:pPr>
      <w:r w:rsidRPr="00F91EFC">
        <w:rPr>
          <w:rFonts w:ascii="Arial" w:hAnsi="Arial" w:cs="Arial"/>
          <w:sz w:val="20"/>
          <w:szCs w:val="20"/>
        </w:rPr>
        <w:t>McDonald’s is the dominating brand in food to go with a 10% share of occasions.</w:t>
      </w:r>
      <w:r>
        <w:rPr>
          <w:rFonts w:ascii="Arial" w:hAnsi="Arial" w:cs="Arial"/>
          <w:sz w:val="20"/>
          <w:szCs w:val="20"/>
        </w:rPr>
        <w:t xml:space="preserve"> </w:t>
      </w:r>
      <w:r w:rsidRPr="00F91EFC">
        <w:rPr>
          <w:rFonts w:ascii="Arial" w:hAnsi="Arial" w:cs="Arial"/>
          <w:sz w:val="20"/>
          <w:szCs w:val="20"/>
        </w:rPr>
        <w:t>Greggs and Costa Coffee come in second and</w:t>
      </w:r>
      <w:r>
        <w:rPr>
          <w:rFonts w:ascii="Arial" w:hAnsi="Arial" w:cs="Arial"/>
          <w:sz w:val="20"/>
          <w:szCs w:val="20"/>
        </w:rPr>
        <w:t xml:space="preserve"> </w:t>
      </w:r>
      <w:r w:rsidRPr="00F91EFC">
        <w:rPr>
          <w:rFonts w:ascii="Arial" w:hAnsi="Arial" w:cs="Arial"/>
          <w:sz w:val="20"/>
          <w:szCs w:val="20"/>
        </w:rPr>
        <w:t>third with a 9% share each. McDonald’s, Greggs and Costa have a high share due to a high number of outlets and a strong presence in</w:t>
      </w:r>
      <w:r>
        <w:rPr>
          <w:rFonts w:ascii="Arial" w:hAnsi="Arial" w:cs="Arial"/>
          <w:sz w:val="20"/>
          <w:szCs w:val="20"/>
        </w:rPr>
        <w:t xml:space="preserve"> </w:t>
      </w:r>
      <w:r w:rsidRPr="00F91EFC">
        <w:rPr>
          <w:rFonts w:ascii="Arial" w:hAnsi="Arial" w:cs="Arial"/>
          <w:sz w:val="20"/>
          <w:szCs w:val="20"/>
        </w:rPr>
        <w:t>a diverse range of locations including suburban towns, travel hubs, commuter belt towns and city centres.</w:t>
      </w:r>
    </w:p>
    <w:p w14:paraId="666E67E9" w14:textId="27AB9B0D" w:rsidR="00F4741B" w:rsidRDefault="001C2E4F" w:rsidP="00E734FF">
      <w:pPr>
        <w:rPr>
          <w:rFonts w:ascii="Arial" w:hAnsi="Arial" w:cs="Arial"/>
          <w:i/>
          <w:iCs/>
          <w:sz w:val="20"/>
          <w:szCs w:val="20"/>
        </w:rPr>
      </w:pPr>
      <w:r>
        <w:rPr>
          <w:rFonts w:ascii="Arial" w:hAnsi="Arial" w:cs="Arial"/>
          <w:sz w:val="20"/>
          <w:szCs w:val="20"/>
        </w:rPr>
        <w:t>Katherine Prowse</w:t>
      </w:r>
      <w:r w:rsidR="007446FD" w:rsidRPr="007446FD">
        <w:rPr>
          <w:rFonts w:ascii="Arial" w:hAnsi="Arial" w:cs="Arial"/>
          <w:sz w:val="20"/>
          <w:szCs w:val="20"/>
        </w:rPr>
        <w:t xml:space="preserve">, </w:t>
      </w:r>
      <w:r w:rsidR="00F4741B">
        <w:rPr>
          <w:rFonts w:ascii="Arial" w:hAnsi="Arial" w:cs="Arial"/>
          <w:sz w:val="20"/>
          <w:szCs w:val="20"/>
        </w:rPr>
        <w:t xml:space="preserve">Senior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F4741B">
        <w:rPr>
          <w:rFonts w:ascii="Arial" w:hAnsi="Arial" w:cs="Arial"/>
          <w:i/>
          <w:iCs/>
          <w:sz w:val="20"/>
          <w:szCs w:val="20"/>
        </w:rPr>
        <w:t>Despite restrictions easing and consumers returning to their favourite dine-in restaurants, pubs and cafes, food to go still accounts for over one-in-four out of home occasions. With the continuation of hybrid working and reduced city centre footfall, this highlights the resilience of the channel and the importan</w:t>
      </w:r>
      <w:r w:rsidR="00853062">
        <w:rPr>
          <w:rFonts w:ascii="Arial" w:hAnsi="Arial" w:cs="Arial"/>
          <w:i/>
          <w:iCs/>
          <w:sz w:val="20"/>
          <w:szCs w:val="20"/>
        </w:rPr>
        <w:t>t role</w:t>
      </w:r>
      <w:r w:rsidR="00F4741B">
        <w:rPr>
          <w:rFonts w:ascii="Arial" w:hAnsi="Arial" w:cs="Arial"/>
          <w:i/>
          <w:iCs/>
          <w:sz w:val="20"/>
          <w:szCs w:val="20"/>
        </w:rPr>
        <w:t xml:space="preserve"> it continues to play </w:t>
      </w:r>
      <w:r w:rsidR="00853062">
        <w:rPr>
          <w:rFonts w:ascii="Arial" w:hAnsi="Arial" w:cs="Arial"/>
          <w:i/>
          <w:iCs/>
          <w:sz w:val="20"/>
          <w:szCs w:val="20"/>
        </w:rPr>
        <w:t>in recovery.”</w:t>
      </w:r>
    </w:p>
    <w:p w14:paraId="7D681231" w14:textId="49DDBF37" w:rsidR="00853062" w:rsidRDefault="00853062" w:rsidP="00753B86">
      <w:pPr>
        <w:rPr>
          <w:rFonts w:ascii="Arial" w:hAnsi="Arial" w:cs="Arial"/>
          <w:i/>
          <w:iCs/>
          <w:sz w:val="20"/>
          <w:szCs w:val="20"/>
        </w:rPr>
      </w:pPr>
      <w:r>
        <w:rPr>
          <w:rFonts w:ascii="Arial" w:hAnsi="Arial" w:cs="Arial"/>
          <w:i/>
          <w:iCs/>
          <w:sz w:val="20"/>
          <w:szCs w:val="20"/>
        </w:rPr>
        <w:t>“</w:t>
      </w:r>
      <w:r w:rsidR="00B42C00">
        <w:rPr>
          <w:rFonts w:ascii="Arial" w:hAnsi="Arial" w:cs="Arial"/>
          <w:i/>
          <w:iCs/>
          <w:sz w:val="20"/>
          <w:szCs w:val="20"/>
        </w:rPr>
        <w:t xml:space="preserve">Proximity, previous experiences and value for money are the key reasons driving consumers to choose a particular food to go outlet. </w:t>
      </w:r>
      <w:r w:rsidR="00475892">
        <w:rPr>
          <w:rFonts w:ascii="Arial" w:hAnsi="Arial" w:cs="Arial"/>
          <w:i/>
          <w:iCs/>
          <w:sz w:val="20"/>
          <w:szCs w:val="20"/>
        </w:rPr>
        <w:t>Ease of ordering across the food to go channel is the area that satisfies consumers the most.</w:t>
      </w:r>
      <w:r w:rsidR="00753B86">
        <w:rPr>
          <w:rFonts w:ascii="Arial" w:hAnsi="Arial" w:cs="Arial"/>
          <w:i/>
          <w:iCs/>
          <w:sz w:val="20"/>
          <w:szCs w:val="20"/>
        </w:rPr>
        <w:t xml:space="preserve"> </w:t>
      </w:r>
      <w:r w:rsidR="00753B86" w:rsidRPr="00753B86">
        <w:rPr>
          <w:rFonts w:ascii="Arial" w:hAnsi="Arial" w:cs="Arial"/>
          <w:i/>
          <w:iCs/>
          <w:sz w:val="20"/>
          <w:szCs w:val="20"/>
        </w:rPr>
        <w:t>Operators have continued investment in</w:t>
      </w:r>
      <w:r w:rsidR="00753B86">
        <w:rPr>
          <w:rFonts w:ascii="Arial" w:hAnsi="Arial" w:cs="Arial"/>
          <w:i/>
          <w:iCs/>
          <w:sz w:val="20"/>
          <w:szCs w:val="20"/>
        </w:rPr>
        <w:t xml:space="preserve"> </w:t>
      </w:r>
      <w:r w:rsidR="00753B86" w:rsidRPr="00753B86">
        <w:rPr>
          <w:rFonts w:ascii="Arial" w:hAnsi="Arial" w:cs="Arial"/>
          <w:i/>
          <w:iCs/>
          <w:sz w:val="20"/>
          <w:szCs w:val="20"/>
        </w:rPr>
        <w:t xml:space="preserve">touchscreen and kiosk ordering </w:t>
      </w:r>
      <w:r w:rsidR="00753B86">
        <w:rPr>
          <w:rFonts w:ascii="Arial" w:hAnsi="Arial" w:cs="Arial"/>
          <w:i/>
          <w:iCs/>
          <w:sz w:val="20"/>
          <w:szCs w:val="20"/>
        </w:rPr>
        <w:t>and this will be a key driver for food to go growth.”</w:t>
      </w:r>
    </w:p>
    <w:p w14:paraId="5E8FC893" w14:textId="4F125872" w:rsidR="00F4741B" w:rsidRPr="00753B86" w:rsidRDefault="00753B86" w:rsidP="00E734FF">
      <w:pPr>
        <w:rPr>
          <w:rFonts w:ascii="Arial" w:hAnsi="Arial" w:cs="Arial"/>
          <w:sz w:val="20"/>
          <w:szCs w:val="20"/>
        </w:rPr>
      </w:pPr>
      <w:r>
        <w:rPr>
          <w:rFonts w:ascii="Arial" w:hAnsi="Arial" w:cs="Arial"/>
          <w:sz w:val="20"/>
          <w:szCs w:val="20"/>
        </w:rPr>
        <w:t xml:space="preserve">For more information of Lumina Intelligence’s UK Food To Go Market Report 2021 </w:t>
      </w:r>
      <w:hyperlink r:id="rId7" w:history="1">
        <w:r w:rsidRPr="00753B86">
          <w:rPr>
            <w:rStyle w:val="Hyperlink"/>
            <w:rFonts w:ascii="Arial" w:hAnsi="Arial" w:cs="Arial"/>
            <w:sz w:val="20"/>
            <w:szCs w:val="20"/>
          </w:rPr>
          <w:t>click here</w:t>
        </w:r>
      </w:hyperlink>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055AE942" w14:textId="336377A4" w:rsidR="00A95E5C" w:rsidRDefault="00A95E5C" w:rsidP="00A95E5C">
      <w:pPr>
        <w:rPr>
          <w:rFonts w:ascii="Arial" w:hAnsi="Arial" w:cs="Arial"/>
          <w:sz w:val="20"/>
          <w:szCs w:val="20"/>
        </w:rPr>
      </w:pPr>
      <w:r w:rsidRPr="009F659F">
        <w:rPr>
          <w:rFonts w:ascii="Arial" w:hAnsi="Arial" w:cs="Arial"/>
          <w:sz w:val="20"/>
          <w:szCs w:val="20"/>
        </w:rPr>
        <w:t>The data within the Lumina Intelligence UK Food To Go Market Report 202</w:t>
      </w:r>
      <w:r w:rsidR="0064548D">
        <w:rPr>
          <w:rFonts w:ascii="Arial" w:hAnsi="Arial" w:cs="Arial"/>
          <w:sz w:val="20"/>
          <w:szCs w:val="20"/>
        </w:rPr>
        <w:t>1</w:t>
      </w:r>
      <w:r w:rsidRPr="009F659F">
        <w:rPr>
          <w:rFonts w:ascii="Arial" w:hAnsi="Arial" w:cs="Arial"/>
          <w:sz w:val="20"/>
          <w:szCs w:val="20"/>
        </w:rPr>
        <w:t xml:space="preserve"> was collated using:</w:t>
      </w:r>
    </w:p>
    <w:p w14:paraId="4DF8AAD0" w14:textId="7E08557B"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Consumer eating out behaviour across all UK eating and drinking out channels through the</w:t>
      </w:r>
      <w:r>
        <w:rPr>
          <w:rFonts w:ascii="Arial" w:hAnsi="Arial" w:cs="Arial"/>
          <w:sz w:val="20"/>
          <w:szCs w:val="20"/>
        </w:rPr>
        <w:t xml:space="preserve"> </w:t>
      </w:r>
      <w:r w:rsidRPr="001B2875">
        <w:rPr>
          <w:rFonts w:ascii="Arial" w:hAnsi="Arial" w:cs="Arial"/>
          <w:sz w:val="20"/>
          <w:szCs w:val="20"/>
        </w:rPr>
        <w:t>Lumina Intelligence Eating &amp; Drinking Out Panel, based on 78,000 interviews each year</w:t>
      </w:r>
    </w:p>
    <w:p w14:paraId="29382DD4" w14:textId="14FFB584"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Consumer attitudes and future intentions based</w:t>
      </w:r>
      <w:r>
        <w:rPr>
          <w:rFonts w:ascii="Arial" w:hAnsi="Arial" w:cs="Arial"/>
          <w:sz w:val="20"/>
          <w:szCs w:val="20"/>
        </w:rPr>
        <w:t xml:space="preserve"> </w:t>
      </w:r>
      <w:r w:rsidRPr="001B2875">
        <w:rPr>
          <w:rFonts w:ascii="Arial" w:hAnsi="Arial" w:cs="Arial"/>
          <w:sz w:val="20"/>
          <w:szCs w:val="20"/>
        </w:rPr>
        <w:t xml:space="preserve">on a bespoke survey (n=1000 </w:t>
      </w:r>
      <w:proofErr w:type="spellStart"/>
      <w:r w:rsidRPr="001B2875">
        <w:rPr>
          <w:rFonts w:ascii="Arial" w:hAnsi="Arial" w:cs="Arial"/>
          <w:sz w:val="20"/>
          <w:szCs w:val="20"/>
        </w:rPr>
        <w:t>nat</w:t>
      </w:r>
      <w:proofErr w:type="spellEnd"/>
      <w:r w:rsidRPr="001B2875">
        <w:rPr>
          <w:rFonts w:ascii="Arial" w:hAnsi="Arial" w:cs="Arial"/>
          <w:sz w:val="20"/>
          <w:szCs w:val="20"/>
        </w:rPr>
        <w:t xml:space="preserve"> rep) </w:t>
      </w:r>
    </w:p>
    <w:p w14:paraId="0250E810" w14:textId="5B599FF7"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 xml:space="preserve">Operator sales and outlet performance from Lumina Intelligence’s Operator Data Index </w:t>
      </w:r>
    </w:p>
    <w:p w14:paraId="464AFB16" w14:textId="11D60994" w:rsidR="00E734FF" w:rsidRPr="001B2875" w:rsidRDefault="001B2875" w:rsidP="001B2875">
      <w:pPr>
        <w:pStyle w:val="ListParagraph"/>
        <w:numPr>
          <w:ilvl w:val="0"/>
          <w:numId w:val="8"/>
        </w:numPr>
        <w:rPr>
          <w:rFonts w:ascii="Arial" w:hAnsi="Arial" w:cs="Arial"/>
          <w:b/>
          <w:bCs/>
          <w:sz w:val="20"/>
          <w:szCs w:val="20"/>
        </w:rPr>
      </w:pPr>
      <w:r w:rsidRPr="001B2875">
        <w:rPr>
          <w:rFonts w:ascii="Arial" w:hAnsi="Arial" w:cs="Arial"/>
          <w:sz w:val="20"/>
          <w:szCs w:val="20"/>
        </w:rPr>
        <w:t>Supported by commentary/soundbites from senior business leaders</w:t>
      </w:r>
      <w:r w:rsidR="00BA596C">
        <w:rPr>
          <w:rFonts w:ascii="Arial" w:hAnsi="Arial" w:cs="Arial"/>
          <w:sz w:val="20"/>
          <w:szCs w:val="20"/>
        </w:rPr>
        <w:t xml:space="preserve"> and journalists</w:t>
      </w:r>
      <w:r w:rsidRPr="001B2875">
        <w:rPr>
          <w:rFonts w:ascii="Arial" w:hAnsi="Arial" w:cs="Arial"/>
          <w:sz w:val="20"/>
          <w:szCs w:val="20"/>
        </w:rPr>
        <w:t xml:space="preserve"> from within the sector</w:t>
      </w:r>
    </w:p>
    <w:p w14:paraId="4CEA97D8" w14:textId="127C5163"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53B86"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F1972"/>
    <w:rsid w:val="000F6D15"/>
    <w:rsid w:val="00113451"/>
    <w:rsid w:val="00116246"/>
    <w:rsid w:val="001249C3"/>
    <w:rsid w:val="001B2875"/>
    <w:rsid w:val="001C2E4F"/>
    <w:rsid w:val="001C50C1"/>
    <w:rsid w:val="001C589F"/>
    <w:rsid w:val="001C5B98"/>
    <w:rsid w:val="001C65B6"/>
    <w:rsid w:val="00214D95"/>
    <w:rsid w:val="00217EE3"/>
    <w:rsid w:val="00261F91"/>
    <w:rsid w:val="002723AE"/>
    <w:rsid w:val="00285BD0"/>
    <w:rsid w:val="002A0F0F"/>
    <w:rsid w:val="002A1E6A"/>
    <w:rsid w:val="002F0BB4"/>
    <w:rsid w:val="002F7EAF"/>
    <w:rsid w:val="00302E10"/>
    <w:rsid w:val="00332724"/>
    <w:rsid w:val="00363346"/>
    <w:rsid w:val="003C4BB2"/>
    <w:rsid w:val="003E204B"/>
    <w:rsid w:val="003F621E"/>
    <w:rsid w:val="0044412F"/>
    <w:rsid w:val="00471332"/>
    <w:rsid w:val="00475892"/>
    <w:rsid w:val="004B3902"/>
    <w:rsid w:val="004D23F6"/>
    <w:rsid w:val="004E551E"/>
    <w:rsid w:val="004F1FF8"/>
    <w:rsid w:val="004F62D9"/>
    <w:rsid w:val="00511B5A"/>
    <w:rsid w:val="00550B08"/>
    <w:rsid w:val="0055150D"/>
    <w:rsid w:val="00553497"/>
    <w:rsid w:val="00566CAE"/>
    <w:rsid w:val="005B7B3F"/>
    <w:rsid w:val="005C0F44"/>
    <w:rsid w:val="00604B4A"/>
    <w:rsid w:val="0064548D"/>
    <w:rsid w:val="0064772D"/>
    <w:rsid w:val="00664850"/>
    <w:rsid w:val="006B7F83"/>
    <w:rsid w:val="006D1829"/>
    <w:rsid w:val="006E735F"/>
    <w:rsid w:val="006E79FF"/>
    <w:rsid w:val="00720ABB"/>
    <w:rsid w:val="007221DF"/>
    <w:rsid w:val="007229E3"/>
    <w:rsid w:val="007446FD"/>
    <w:rsid w:val="00753B86"/>
    <w:rsid w:val="00755025"/>
    <w:rsid w:val="0076037A"/>
    <w:rsid w:val="007B4F7A"/>
    <w:rsid w:val="007F3C85"/>
    <w:rsid w:val="008249B4"/>
    <w:rsid w:val="008276B8"/>
    <w:rsid w:val="00846DDB"/>
    <w:rsid w:val="00853062"/>
    <w:rsid w:val="00862CCB"/>
    <w:rsid w:val="008A46AD"/>
    <w:rsid w:val="008D4655"/>
    <w:rsid w:val="008E317A"/>
    <w:rsid w:val="008E5A63"/>
    <w:rsid w:val="00906A89"/>
    <w:rsid w:val="0094762B"/>
    <w:rsid w:val="009A6775"/>
    <w:rsid w:val="009C613A"/>
    <w:rsid w:val="009D1543"/>
    <w:rsid w:val="00A95E5C"/>
    <w:rsid w:val="00AA3F19"/>
    <w:rsid w:val="00AB3399"/>
    <w:rsid w:val="00AD236E"/>
    <w:rsid w:val="00AE6B2F"/>
    <w:rsid w:val="00B03B5B"/>
    <w:rsid w:val="00B06987"/>
    <w:rsid w:val="00B06B5C"/>
    <w:rsid w:val="00B07852"/>
    <w:rsid w:val="00B414CE"/>
    <w:rsid w:val="00B42C00"/>
    <w:rsid w:val="00B46E6F"/>
    <w:rsid w:val="00B94AC2"/>
    <w:rsid w:val="00BA596C"/>
    <w:rsid w:val="00BB4747"/>
    <w:rsid w:val="00C04D48"/>
    <w:rsid w:val="00C16ADB"/>
    <w:rsid w:val="00C270FD"/>
    <w:rsid w:val="00C273A6"/>
    <w:rsid w:val="00C30C1F"/>
    <w:rsid w:val="00C545F0"/>
    <w:rsid w:val="00C77C17"/>
    <w:rsid w:val="00C86028"/>
    <w:rsid w:val="00CB101B"/>
    <w:rsid w:val="00CE6B8A"/>
    <w:rsid w:val="00D25202"/>
    <w:rsid w:val="00D30793"/>
    <w:rsid w:val="00D308D1"/>
    <w:rsid w:val="00D36AF3"/>
    <w:rsid w:val="00DA3FA1"/>
    <w:rsid w:val="00DB2AFC"/>
    <w:rsid w:val="00E214AC"/>
    <w:rsid w:val="00E56A95"/>
    <w:rsid w:val="00E72427"/>
    <w:rsid w:val="00E734FF"/>
    <w:rsid w:val="00EA1B39"/>
    <w:rsid w:val="00EC455C"/>
    <w:rsid w:val="00ED0369"/>
    <w:rsid w:val="00ED2C5E"/>
    <w:rsid w:val="00ED3ABD"/>
    <w:rsid w:val="00EE59D7"/>
    <w:rsid w:val="00F16921"/>
    <w:rsid w:val="00F30CBB"/>
    <w:rsid w:val="00F4741B"/>
    <w:rsid w:val="00F91EFC"/>
    <w:rsid w:val="00FB7D7E"/>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table" w:styleId="TableGrid">
    <w:name w:val="Table Grid"/>
    <w:basedOn w:val="TableNormal"/>
    <w:uiPriority w:val="39"/>
    <w:rsid w:val="000F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food-to-go-reports/uk-food-to-go-market-report-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2021-10-06T12:33:00Z</dcterms:created>
  <dcterms:modified xsi:type="dcterms:W3CDTF">2021-10-07T10:32:00Z</dcterms:modified>
</cp:coreProperties>
</file>