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E3361D"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279F283" w:rsidR="00ED3ABD" w:rsidRPr="00550B08" w:rsidRDefault="0020205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BE356F">
        <w:rPr>
          <w:rStyle w:val="Hyperlink"/>
          <w:rFonts w:ascii="Arial" w:hAnsi="Arial" w:cs="Arial"/>
          <w:b/>
          <w:bCs/>
          <w:color w:val="505050"/>
          <w:sz w:val="18"/>
          <w:szCs w:val="18"/>
          <w:u w:val="none"/>
        </w:rPr>
        <w:t>9</w:t>
      </w:r>
      <w:r>
        <w:rPr>
          <w:rStyle w:val="Hyperlink"/>
          <w:rFonts w:ascii="Arial" w:hAnsi="Arial" w:cs="Arial"/>
          <w:b/>
          <w:bCs/>
          <w:color w:val="505050"/>
          <w:sz w:val="18"/>
          <w:szCs w:val="18"/>
          <w:u w:val="none"/>
        </w:rPr>
        <w:t xml:space="preserve"> </w:t>
      </w:r>
      <w:r w:rsidR="00BE356F">
        <w:rPr>
          <w:rStyle w:val="Hyperlink"/>
          <w:rFonts w:ascii="Arial" w:hAnsi="Arial" w:cs="Arial"/>
          <w:b/>
          <w:bCs/>
          <w:color w:val="505050"/>
          <w:sz w:val="18"/>
          <w:szCs w:val="18"/>
          <w:u w:val="none"/>
        </w:rPr>
        <w:t>November</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0391393C" w:rsidR="00DD5EEB" w:rsidRDefault="00BE356F" w:rsidP="00DB2AFC">
      <w:pPr>
        <w:jc w:val="center"/>
        <w:rPr>
          <w:rFonts w:ascii="Arial" w:hAnsi="Arial" w:cs="Arial"/>
          <w:b/>
          <w:bCs/>
          <w:sz w:val="32"/>
          <w:szCs w:val="32"/>
        </w:rPr>
      </w:pPr>
      <w:r>
        <w:rPr>
          <w:rFonts w:ascii="Arial" w:hAnsi="Arial" w:cs="Arial"/>
          <w:b/>
          <w:bCs/>
          <w:sz w:val="32"/>
          <w:szCs w:val="32"/>
        </w:rPr>
        <w:t xml:space="preserve">Dine-in </w:t>
      </w:r>
      <w:r w:rsidR="004B622D">
        <w:rPr>
          <w:rFonts w:ascii="Arial" w:hAnsi="Arial" w:cs="Arial"/>
          <w:b/>
          <w:bCs/>
          <w:sz w:val="32"/>
          <w:szCs w:val="32"/>
        </w:rPr>
        <w:t xml:space="preserve">occasions </w:t>
      </w:r>
      <w:r>
        <w:rPr>
          <w:rFonts w:ascii="Arial" w:hAnsi="Arial" w:cs="Arial"/>
          <w:b/>
          <w:bCs/>
          <w:sz w:val="32"/>
          <w:szCs w:val="32"/>
        </w:rPr>
        <w:t xml:space="preserve">continues to </w:t>
      </w:r>
      <w:r w:rsidR="004B622D">
        <w:rPr>
          <w:rFonts w:ascii="Arial" w:hAnsi="Arial" w:cs="Arial"/>
          <w:b/>
          <w:bCs/>
          <w:sz w:val="32"/>
          <w:szCs w:val="32"/>
        </w:rPr>
        <w:t>increase</w:t>
      </w:r>
      <w:r>
        <w:rPr>
          <w:rFonts w:ascii="Arial" w:hAnsi="Arial" w:cs="Arial"/>
          <w:b/>
          <w:bCs/>
          <w:sz w:val="32"/>
          <w:szCs w:val="32"/>
        </w:rPr>
        <w:t>, as restaurants and pubs/bar</w:t>
      </w:r>
      <w:r w:rsidR="004B622D">
        <w:rPr>
          <w:rFonts w:ascii="Arial" w:hAnsi="Arial" w:cs="Arial"/>
          <w:b/>
          <w:bCs/>
          <w:sz w:val="32"/>
          <w:szCs w:val="32"/>
        </w:rPr>
        <w:t>s grow share</w:t>
      </w:r>
    </w:p>
    <w:p w14:paraId="0A317CE8" w14:textId="6641126B" w:rsidR="00D5558E" w:rsidRDefault="007446FD" w:rsidP="00D5558E">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w:t>
      </w:r>
      <w:r w:rsidR="00D5558E">
        <w:rPr>
          <w:rFonts w:ascii="Arial" w:hAnsi="Arial" w:cs="Arial"/>
          <w:sz w:val="20"/>
          <w:szCs w:val="20"/>
        </w:rPr>
        <w:t xml:space="preserve">latest update to the </w:t>
      </w:r>
      <w:r w:rsidR="00DB2AFC">
        <w:rPr>
          <w:rFonts w:ascii="Arial" w:hAnsi="Arial" w:cs="Arial"/>
          <w:sz w:val="20"/>
          <w:szCs w:val="20"/>
        </w:rPr>
        <w:t xml:space="preserve">Lumina Intelligence UK </w:t>
      </w:r>
      <w:r w:rsidR="00E975B9">
        <w:rPr>
          <w:rFonts w:ascii="Arial" w:hAnsi="Arial" w:cs="Arial"/>
          <w:sz w:val="20"/>
          <w:szCs w:val="20"/>
        </w:rPr>
        <w:t xml:space="preserve">Eating Out Market Report 2021, </w:t>
      </w:r>
      <w:r w:rsidR="00D5558E">
        <w:rPr>
          <w:rFonts w:ascii="Arial" w:hAnsi="Arial" w:cs="Arial"/>
          <w:sz w:val="20"/>
          <w:szCs w:val="20"/>
        </w:rPr>
        <w:t>the proportion of out-of-home occasions that are purchased and consumed on-premise i</w:t>
      </w:r>
      <w:r w:rsidR="00D5558E" w:rsidRPr="00D5558E">
        <w:rPr>
          <w:rFonts w:ascii="Arial" w:hAnsi="Arial" w:cs="Arial"/>
          <w:sz w:val="20"/>
          <w:szCs w:val="20"/>
        </w:rPr>
        <w:t>ncreased by</w:t>
      </w:r>
      <w:r w:rsidR="00D5558E">
        <w:rPr>
          <w:rFonts w:ascii="Arial" w:hAnsi="Arial" w:cs="Arial"/>
          <w:sz w:val="20"/>
          <w:szCs w:val="20"/>
        </w:rPr>
        <w:t xml:space="preserve"> </w:t>
      </w:r>
      <w:r w:rsidR="00D5558E" w:rsidRPr="00D5558E">
        <w:rPr>
          <w:rFonts w:ascii="Arial" w:hAnsi="Arial" w:cs="Arial"/>
          <w:sz w:val="20"/>
          <w:szCs w:val="20"/>
        </w:rPr>
        <w:t>+3.4ppts</w:t>
      </w:r>
      <w:r w:rsidR="00D5558E">
        <w:rPr>
          <w:rFonts w:ascii="Arial" w:hAnsi="Arial" w:cs="Arial"/>
          <w:sz w:val="20"/>
          <w:szCs w:val="20"/>
        </w:rPr>
        <w:t xml:space="preserve">, from 70.6% in the 12 weeks ending (12WE) 11/07/21 to </w:t>
      </w:r>
      <w:r w:rsidR="001F4E93">
        <w:rPr>
          <w:rFonts w:ascii="Arial" w:hAnsi="Arial" w:cs="Arial"/>
          <w:sz w:val="20"/>
          <w:szCs w:val="20"/>
        </w:rPr>
        <w:t>74.0% in the 12 WE 03/10/2021.</w:t>
      </w:r>
    </w:p>
    <w:p w14:paraId="696C843C" w14:textId="1AE14B5B" w:rsidR="00BA7F88" w:rsidRDefault="00BA7F88" w:rsidP="00BA7F88">
      <w:pPr>
        <w:rPr>
          <w:rFonts w:ascii="Arial" w:hAnsi="Arial" w:cs="Arial"/>
          <w:sz w:val="20"/>
          <w:szCs w:val="20"/>
        </w:rPr>
      </w:pPr>
      <w:r w:rsidRPr="00BA7F88">
        <w:rPr>
          <w:rFonts w:ascii="Arial" w:hAnsi="Arial" w:cs="Arial"/>
          <w:sz w:val="20"/>
          <w:szCs w:val="20"/>
        </w:rPr>
        <w:t xml:space="preserve">Delivery declined in share by </w:t>
      </w:r>
      <w:r>
        <w:rPr>
          <w:rFonts w:ascii="Arial" w:hAnsi="Arial" w:cs="Arial"/>
          <w:sz w:val="20"/>
          <w:szCs w:val="20"/>
        </w:rPr>
        <w:t>-</w:t>
      </w:r>
      <w:r w:rsidRPr="00BA7F88">
        <w:rPr>
          <w:rFonts w:ascii="Arial" w:hAnsi="Arial" w:cs="Arial"/>
          <w:sz w:val="20"/>
          <w:szCs w:val="20"/>
        </w:rPr>
        <w:t>2.1ppts</w:t>
      </w:r>
      <w:r>
        <w:rPr>
          <w:rFonts w:ascii="Arial" w:hAnsi="Arial" w:cs="Arial"/>
          <w:sz w:val="20"/>
          <w:szCs w:val="20"/>
        </w:rPr>
        <w:t xml:space="preserve"> </w:t>
      </w:r>
      <w:r w:rsidRPr="00BA7F88">
        <w:rPr>
          <w:rFonts w:ascii="Arial" w:hAnsi="Arial" w:cs="Arial"/>
          <w:sz w:val="20"/>
          <w:szCs w:val="20"/>
        </w:rPr>
        <w:t>and Click &amp; Collect declined by</w:t>
      </w:r>
      <w:r>
        <w:rPr>
          <w:rFonts w:ascii="Arial" w:hAnsi="Arial" w:cs="Arial"/>
          <w:sz w:val="20"/>
          <w:szCs w:val="20"/>
        </w:rPr>
        <w:t xml:space="preserve"> -</w:t>
      </w:r>
      <w:r w:rsidRPr="00BA7F88">
        <w:rPr>
          <w:rFonts w:ascii="Arial" w:hAnsi="Arial" w:cs="Arial"/>
          <w:sz w:val="20"/>
          <w:szCs w:val="20"/>
        </w:rPr>
        <w:t>1.5ppts</w:t>
      </w:r>
      <w:r>
        <w:rPr>
          <w:rFonts w:ascii="Arial" w:hAnsi="Arial" w:cs="Arial"/>
          <w:sz w:val="20"/>
          <w:szCs w:val="20"/>
        </w:rPr>
        <w:t>,</w:t>
      </w:r>
      <w:r w:rsidRPr="00BA7F88">
        <w:rPr>
          <w:rFonts w:ascii="Arial" w:hAnsi="Arial" w:cs="Arial"/>
          <w:sz w:val="20"/>
          <w:szCs w:val="20"/>
        </w:rPr>
        <w:t xml:space="preserve"> as consumers ate and drank</w:t>
      </w:r>
      <w:r>
        <w:rPr>
          <w:rFonts w:ascii="Arial" w:hAnsi="Arial" w:cs="Arial"/>
          <w:sz w:val="20"/>
          <w:szCs w:val="20"/>
        </w:rPr>
        <w:t xml:space="preserve"> </w:t>
      </w:r>
      <w:r w:rsidRPr="00BA7F88">
        <w:rPr>
          <w:rFonts w:ascii="Arial" w:hAnsi="Arial" w:cs="Arial"/>
          <w:sz w:val="20"/>
          <w:szCs w:val="20"/>
        </w:rPr>
        <w:t>out of home more often.</w:t>
      </w:r>
    </w:p>
    <w:p w14:paraId="15A64D92" w14:textId="38727ECE" w:rsidR="00D5558E" w:rsidRDefault="00B07505" w:rsidP="00B07505">
      <w:pPr>
        <w:rPr>
          <w:rFonts w:ascii="Arial" w:hAnsi="Arial" w:cs="Arial"/>
          <w:sz w:val="20"/>
          <w:szCs w:val="20"/>
        </w:rPr>
      </w:pPr>
      <w:r>
        <w:rPr>
          <w:rFonts w:ascii="Arial" w:hAnsi="Arial" w:cs="Arial"/>
          <w:sz w:val="20"/>
          <w:szCs w:val="20"/>
        </w:rPr>
        <w:t>In the latest 12-week period, o</w:t>
      </w:r>
      <w:r w:rsidRPr="00B07505">
        <w:rPr>
          <w:rFonts w:ascii="Arial" w:hAnsi="Arial" w:cs="Arial"/>
          <w:sz w:val="20"/>
          <w:szCs w:val="20"/>
        </w:rPr>
        <w:t>ver half of the UK adult population</w:t>
      </w:r>
      <w:r>
        <w:rPr>
          <w:rFonts w:ascii="Arial" w:hAnsi="Arial" w:cs="Arial"/>
          <w:sz w:val="20"/>
          <w:szCs w:val="20"/>
        </w:rPr>
        <w:t xml:space="preserve"> </w:t>
      </w:r>
      <w:r w:rsidRPr="00B07505">
        <w:rPr>
          <w:rFonts w:ascii="Arial" w:hAnsi="Arial" w:cs="Arial"/>
          <w:sz w:val="20"/>
          <w:szCs w:val="20"/>
        </w:rPr>
        <w:t>had an eating or drinking out</w:t>
      </w:r>
      <w:r>
        <w:rPr>
          <w:rFonts w:ascii="Arial" w:hAnsi="Arial" w:cs="Arial"/>
          <w:sz w:val="20"/>
          <w:szCs w:val="20"/>
        </w:rPr>
        <w:t xml:space="preserve"> </w:t>
      </w:r>
      <w:r w:rsidRPr="00B07505">
        <w:rPr>
          <w:rFonts w:ascii="Arial" w:hAnsi="Arial" w:cs="Arial"/>
          <w:sz w:val="20"/>
          <w:szCs w:val="20"/>
        </w:rPr>
        <w:t>occasion each week</w:t>
      </w:r>
      <w:r>
        <w:rPr>
          <w:rFonts w:ascii="Arial" w:hAnsi="Arial" w:cs="Arial"/>
          <w:sz w:val="20"/>
          <w:szCs w:val="20"/>
        </w:rPr>
        <w:t xml:space="preserve">, peaking at 58% WE 05/09/2021, </w:t>
      </w:r>
      <w:r w:rsidRPr="00B07505">
        <w:rPr>
          <w:rFonts w:ascii="Arial" w:hAnsi="Arial" w:cs="Arial"/>
          <w:sz w:val="20"/>
          <w:szCs w:val="20"/>
        </w:rPr>
        <w:t>coinciding with the late August bank</w:t>
      </w:r>
      <w:r>
        <w:rPr>
          <w:rFonts w:ascii="Arial" w:hAnsi="Arial" w:cs="Arial"/>
          <w:sz w:val="20"/>
          <w:szCs w:val="20"/>
        </w:rPr>
        <w:t xml:space="preserve"> </w:t>
      </w:r>
      <w:r w:rsidRPr="00B07505">
        <w:rPr>
          <w:rFonts w:ascii="Arial" w:hAnsi="Arial" w:cs="Arial"/>
          <w:sz w:val="20"/>
          <w:szCs w:val="20"/>
        </w:rPr>
        <w:t>holiday, warm weather and increased</w:t>
      </w:r>
      <w:r>
        <w:rPr>
          <w:rFonts w:ascii="Arial" w:hAnsi="Arial" w:cs="Arial"/>
          <w:sz w:val="20"/>
          <w:szCs w:val="20"/>
        </w:rPr>
        <w:t xml:space="preserve"> </w:t>
      </w:r>
      <w:r w:rsidRPr="00B07505">
        <w:rPr>
          <w:rFonts w:ascii="Arial" w:hAnsi="Arial" w:cs="Arial"/>
          <w:sz w:val="20"/>
          <w:szCs w:val="20"/>
        </w:rPr>
        <w:t>leisure time driving a rise in out of</w:t>
      </w:r>
      <w:r>
        <w:rPr>
          <w:rFonts w:ascii="Arial" w:hAnsi="Arial" w:cs="Arial"/>
          <w:sz w:val="20"/>
          <w:szCs w:val="20"/>
        </w:rPr>
        <w:t xml:space="preserve"> </w:t>
      </w:r>
      <w:r w:rsidRPr="00B07505">
        <w:rPr>
          <w:rFonts w:ascii="Arial" w:hAnsi="Arial" w:cs="Arial"/>
          <w:sz w:val="20"/>
          <w:szCs w:val="20"/>
        </w:rPr>
        <w:t>home occasions.</w:t>
      </w:r>
    </w:p>
    <w:p w14:paraId="562743AE" w14:textId="1170E58B" w:rsidR="00D5558E" w:rsidRDefault="00540AA4" w:rsidP="00540AA4">
      <w:pPr>
        <w:rPr>
          <w:rFonts w:ascii="Arial" w:hAnsi="Arial" w:cs="Arial"/>
          <w:sz w:val="20"/>
          <w:szCs w:val="20"/>
        </w:rPr>
      </w:pPr>
      <w:r w:rsidRPr="00540AA4">
        <w:rPr>
          <w:rFonts w:ascii="Arial" w:hAnsi="Arial" w:cs="Arial"/>
          <w:sz w:val="20"/>
          <w:szCs w:val="20"/>
        </w:rPr>
        <w:t xml:space="preserve">Average spend increased by </w:t>
      </w:r>
      <w:r w:rsidR="00E3361D">
        <w:rPr>
          <w:rFonts w:ascii="Arial" w:hAnsi="Arial" w:cs="Arial"/>
          <w:sz w:val="20"/>
          <w:szCs w:val="20"/>
        </w:rPr>
        <w:t>+</w:t>
      </w:r>
      <w:r w:rsidRPr="00540AA4">
        <w:rPr>
          <w:rFonts w:ascii="Arial" w:hAnsi="Arial" w:cs="Arial"/>
          <w:sz w:val="20"/>
          <w:szCs w:val="20"/>
        </w:rPr>
        <w:t>8.9% in</w:t>
      </w:r>
      <w:r>
        <w:rPr>
          <w:rFonts w:ascii="Arial" w:hAnsi="Arial" w:cs="Arial"/>
          <w:sz w:val="20"/>
          <w:szCs w:val="20"/>
        </w:rPr>
        <w:t xml:space="preserve"> </w:t>
      </w:r>
      <w:r w:rsidRPr="00540AA4">
        <w:rPr>
          <w:rFonts w:ascii="Arial" w:hAnsi="Arial" w:cs="Arial"/>
          <w:sz w:val="20"/>
          <w:szCs w:val="20"/>
        </w:rPr>
        <w:t>the latest 12 weeks</w:t>
      </w:r>
      <w:r w:rsidR="00204381">
        <w:rPr>
          <w:rFonts w:ascii="Arial" w:hAnsi="Arial" w:cs="Arial"/>
          <w:sz w:val="20"/>
          <w:szCs w:val="20"/>
        </w:rPr>
        <w:t xml:space="preserve">, from £11.01 per visit to £11.99. </w:t>
      </w:r>
      <w:r w:rsidR="00BA7F88">
        <w:rPr>
          <w:rFonts w:ascii="Arial" w:hAnsi="Arial" w:cs="Arial"/>
          <w:sz w:val="20"/>
          <w:szCs w:val="20"/>
        </w:rPr>
        <w:t xml:space="preserve">This is driven by consumers visiting higher spend channels, including </w:t>
      </w:r>
      <w:r w:rsidRPr="00540AA4">
        <w:rPr>
          <w:rFonts w:ascii="Arial" w:hAnsi="Arial" w:cs="Arial"/>
          <w:sz w:val="20"/>
          <w:szCs w:val="20"/>
        </w:rPr>
        <w:t>restaurants and</w:t>
      </w:r>
      <w:r>
        <w:rPr>
          <w:rFonts w:ascii="Arial" w:hAnsi="Arial" w:cs="Arial"/>
          <w:sz w:val="20"/>
          <w:szCs w:val="20"/>
        </w:rPr>
        <w:t xml:space="preserve"> </w:t>
      </w:r>
      <w:r w:rsidRPr="00540AA4">
        <w:rPr>
          <w:rFonts w:ascii="Arial" w:hAnsi="Arial" w:cs="Arial"/>
          <w:sz w:val="20"/>
          <w:szCs w:val="20"/>
        </w:rPr>
        <w:t>pubs &amp; bars.</w:t>
      </w:r>
      <w:r w:rsidR="00BA7F88">
        <w:rPr>
          <w:rFonts w:ascii="Arial" w:hAnsi="Arial" w:cs="Arial"/>
          <w:sz w:val="20"/>
          <w:szCs w:val="20"/>
        </w:rPr>
        <w:t xml:space="preserve"> Restaurants share of total eating out occasions increase +3.5ppts, from 15.3% to 18.8%, and pubs &amp; bars increased share by +2.4ppts, from 15.4% to 17.8%. The QSR channel maintains the highest share of occasions, however in the latest 12-week period it has fallen -2ppts, from 37.7% to 35.7%, driven by the -2ppt decline in delivery occasions.</w:t>
      </w:r>
    </w:p>
    <w:p w14:paraId="596BA6F4" w14:textId="545BAE6F" w:rsidR="00BA7F88" w:rsidRDefault="00BA7F88" w:rsidP="00BA7F88">
      <w:pPr>
        <w:rPr>
          <w:rFonts w:ascii="Arial" w:hAnsi="Arial" w:cs="Arial"/>
          <w:sz w:val="20"/>
          <w:szCs w:val="20"/>
        </w:rPr>
      </w:pPr>
      <w:r w:rsidRPr="00BA7F88">
        <w:rPr>
          <w:rFonts w:ascii="Arial" w:hAnsi="Arial" w:cs="Arial"/>
          <w:sz w:val="20"/>
          <w:szCs w:val="20"/>
        </w:rPr>
        <w:t xml:space="preserve">Lunch occasions increased by </w:t>
      </w:r>
      <w:r w:rsidR="00E3361D">
        <w:rPr>
          <w:rFonts w:ascii="Arial" w:hAnsi="Arial" w:cs="Arial"/>
          <w:sz w:val="20"/>
          <w:szCs w:val="20"/>
        </w:rPr>
        <w:t>+</w:t>
      </w:r>
      <w:r w:rsidRPr="00BA7F88">
        <w:rPr>
          <w:rFonts w:ascii="Arial" w:hAnsi="Arial" w:cs="Arial"/>
          <w:sz w:val="20"/>
          <w:szCs w:val="20"/>
        </w:rPr>
        <w:t xml:space="preserve">2.3ppts over the past quarter, with dinner occasions decreasing by </w:t>
      </w:r>
      <w:r w:rsidR="00E3361D">
        <w:rPr>
          <w:rFonts w:ascii="Arial" w:hAnsi="Arial" w:cs="Arial"/>
          <w:sz w:val="20"/>
          <w:szCs w:val="20"/>
        </w:rPr>
        <w:t>-</w:t>
      </w:r>
      <w:r w:rsidRPr="00BA7F88">
        <w:rPr>
          <w:rFonts w:ascii="Arial" w:hAnsi="Arial" w:cs="Arial"/>
          <w:sz w:val="20"/>
          <w:szCs w:val="20"/>
        </w:rPr>
        <w:t>2.2ppts.</w:t>
      </w:r>
      <w:r>
        <w:rPr>
          <w:rFonts w:ascii="Arial" w:hAnsi="Arial" w:cs="Arial"/>
          <w:sz w:val="20"/>
          <w:szCs w:val="20"/>
        </w:rPr>
        <w:t xml:space="preserve"> Lunch accounted for over one-in-three</w:t>
      </w:r>
      <w:r w:rsidR="000A6DD0">
        <w:rPr>
          <w:rFonts w:ascii="Arial" w:hAnsi="Arial" w:cs="Arial"/>
          <w:sz w:val="20"/>
          <w:szCs w:val="20"/>
        </w:rPr>
        <w:t xml:space="preserve"> (34%)</w:t>
      </w:r>
      <w:r>
        <w:rPr>
          <w:rFonts w:ascii="Arial" w:hAnsi="Arial" w:cs="Arial"/>
          <w:sz w:val="20"/>
          <w:szCs w:val="20"/>
        </w:rPr>
        <w:t xml:space="preserve"> eating out occasions. </w:t>
      </w:r>
    </w:p>
    <w:p w14:paraId="5BEEC064" w14:textId="7B6BDD31" w:rsidR="00540AA4" w:rsidRDefault="000A6DD0" w:rsidP="008E5A63">
      <w:pPr>
        <w:rPr>
          <w:rFonts w:ascii="Arial" w:hAnsi="Arial" w:cs="Arial"/>
          <w:sz w:val="20"/>
          <w:szCs w:val="20"/>
        </w:rPr>
      </w:pPr>
      <w:r w:rsidRPr="000A6DD0">
        <w:rPr>
          <w:rFonts w:ascii="Arial" w:hAnsi="Arial" w:cs="Arial"/>
          <w:sz w:val="20"/>
          <w:szCs w:val="20"/>
        </w:rPr>
        <w:t xml:space="preserve">KFC saw its share of occasions increase by +1ppt in the past 12 weeks with McDonald’s and Greggs both </w:t>
      </w:r>
      <w:r>
        <w:rPr>
          <w:rFonts w:ascii="Arial" w:hAnsi="Arial" w:cs="Arial"/>
          <w:sz w:val="20"/>
          <w:szCs w:val="20"/>
        </w:rPr>
        <w:t>experiencing -1ppt declines</w:t>
      </w:r>
      <w:r w:rsidRPr="000A6DD0">
        <w:rPr>
          <w:rFonts w:ascii="Arial" w:hAnsi="Arial" w:cs="Arial"/>
          <w:sz w:val="20"/>
          <w:szCs w:val="20"/>
        </w:rPr>
        <w:t>.</w:t>
      </w:r>
      <w:r>
        <w:rPr>
          <w:rFonts w:ascii="Arial" w:hAnsi="Arial" w:cs="Arial"/>
          <w:sz w:val="20"/>
          <w:szCs w:val="20"/>
        </w:rPr>
        <w:t xml:space="preserve"> </w:t>
      </w:r>
      <w:r w:rsidRPr="000A6DD0">
        <w:rPr>
          <w:rFonts w:ascii="Arial" w:hAnsi="Arial" w:cs="Arial"/>
          <w:sz w:val="20"/>
          <w:szCs w:val="20"/>
        </w:rPr>
        <w:t>KFC</w:t>
      </w:r>
      <w:r>
        <w:rPr>
          <w:rFonts w:ascii="Arial" w:hAnsi="Arial" w:cs="Arial"/>
          <w:sz w:val="20"/>
          <w:szCs w:val="20"/>
        </w:rPr>
        <w:t xml:space="preserve"> </w:t>
      </w:r>
      <w:r w:rsidRPr="000A6DD0">
        <w:rPr>
          <w:rFonts w:ascii="Arial" w:hAnsi="Arial" w:cs="Arial"/>
          <w:sz w:val="20"/>
          <w:szCs w:val="20"/>
        </w:rPr>
        <w:t>has been focusing its expansion efforts on drive thru formats, capitalising on consumers travelling throughout the school holidays.</w:t>
      </w:r>
    </w:p>
    <w:p w14:paraId="60DC51D2" w14:textId="7FA47D58" w:rsidR="000A6DD0" w:rsidRDefault="001C257C" w:rsidP="008E5A63">
      <w:pPr>
        <w:rPr>
          <w:rFonts w:ascii="Arial" w:hAnsi="Arial" w:cs="Arial"/>
          <w:i/>
          <w:iCs/>
          <w:sz w:val="20"/>
          <w:szCs w:val="20"/>
        </w:rPr>
      </w:pPr>
      <w:r>
        <w:rPr>
          <w:rFonts w:ascii="Arial" w:hAnsi="Arial" w:cs="Arial"/>
          <w:sz w:val="20"/>
          <w:szCs w:val="20"/>
        </w:rPr>
        <w:t>Commenting on the results, Blonnie Whist, Insight</w:t>
      </w:r>
      <w:r w:rsidR="006247CE">
        <w:rPr>
          <w:rFonts w:ascii="Arial" w:hAnsi="Arial" w:cs="Arial"/>
          <w:sz w:val="20"/>
          <w:szCs w:val="20"/>
        </w:rPr>
        <w:t xml:space="preserve"> Director</w:t>
      </w:r>
      <w:r>
        <w:rPr>
          <w:rFonts w:ascii="Arial" w:hAnsi="Arial" w:cs="Arial"/>
          <w:sz w:val="20"/>
          <w:szCs w:val="20"/>
        </w:rPr>
        <w:t xml:space="preserve"> at Lumina Intelligence said, </w:t>
      </w:r>
      <w:r w:rsidRPr="00E362CA">
        <w:rPr>
          <w:rFonts w:ascii="Arial" w:hAnsi="Arial" w:cs="Arial"/>
          <w:i/>
          <w:iCs/>
          <w:sz w:val="20"/>
          <w:szCs w:val="20"/>
        </w:rPr>
        <w:t>“</w:t>
      </w:r>
      <w:r w:rsidR="000A6DD0">
        <w:rPr>
          <w:rFonts w:ascii="Arial" w:hAnsi="Arial" w:cs="Arial"/>
          <w:i/>
          <w:iCs/>
          <w:sz w:val="20"/>
          <w:szCs w:val="20"/>
        </w:rPr>
        <w:t>The easing of restrictions is resulting in consumers returning to more indulgent, higher ticket channels, such as pubs/bars and restaurants. This will come as positive news for operators, ahead of a critical festive period that is reliant on restrictions remaining eased and consumer confidence in socialising continuing to grow. The end of Summer also coincided with many returning to the office in some capacity, which will be a key driver in the increase in lunch occasions. City centre operators, who have had a torrid 18 months will be buoyed by the steady return of workers and the increases in commuter traffic.”</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77777777" w:rsidR="0049573C" w:rsidRPr="0049573C" w:rsidRDefault="0049573C" w:rsidP="0049573C">
      <w:pPr>
        <w:rPr>
          <w:rFonts w:ascii="Arial" w:hAnsi="Arial" w:cs="Arial"/>
          <w:sz w:val="20"/>
          <w:szCs w:val="20"/>
        </w:rPr>
      </w:pPr>
      <w:r w:rsidRPr="0049573C">
        <w:rPr>
          <w:rFonts w:ascii="Arial" w:hAnsi="Arial" w:cs="Arial"/>
          <w:sz w:val="20"/>
          <w:szCs w:val="20"/>
        </w:rPr>
        <w:t>The Lumina Intelligence UK Eating Out Report 2021 is the trusted source of insight for UK leading manufacturers and operators.</w:t>
      </w:r>
    </w:p>
    <w:p w14:paraId="354366F1" w14:textId="43DA9B32" w:rsidR="0049573C" w:rsidRDefault="0049573C" w:rsidP="0049573C">
      <w:pPr>
        <w:rPr>
          <w:rFonts w:ascii="Arial" w:hAnsi="Arial" w:cs="Arial"/>
          <w:sz w:val="20"/>
          <w:szCs w:val="20"/>
        </w:rPr>
      </w:pPr>
      <w:r>
        <w:rPr>
          <w:rFonts w:ascii="Arial" w:hAnsi="Arial" w:cs="Arial"/>
          <w:sz w:val="20"/>
          <w:szCs w:val="20"/>
        </w:rPr>
        <w:t>The report methodology includes:</w:t>
      </w:r>
    </w:p>
    <w:p w14:paraId="76713B5F" w14:textId="416959A8"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Consumer eating out behaviour data based on 78,000 surveys across the year from Lumina Intelligence’s Eating &amp; Drinking Out Panel.</w:t>
      </w:r>
    </w:p>
    <w:p w14:paraId="0AF441BE" w14:textId="5F35D744"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Extracts from Lumina Intelligence Operator Data Index and synthesis with wider market sizing databases.</w:t>
      </w:r>
    </w:p>
    <w:p w14:paraId="25D77DB5" w14:textId="770009A6"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A bespoke consumer survey analysing attitudes towards eating out and what the impact of the coronavirus will be on future intentions to eat out</w:t>
      </w:r>
    </w:p>
    <w:p w14:paraId="3480AC66" w14:textId="41D23B0F"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Desk research: news articles and trade press, company websites and industry associations.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E3361D"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4899" w14:textId="77777777" w:rsidR="00CD7E19" w:rsidRDefault="00CD7E19" w:rsidP="006247CE">
      <w:pPr>
        <w:spacing w:after="0" w:line="240" w:lineRule="auto"/>
      </w:pPr>
      <w:r>
        <w:separator/>
      </w:r>
    </w:p>
  </w:endnote>
  <w:endnote w:type="continuationSeparator" w:id="0">
    <w:p w14:paraId="2558BC00" w14:textId="77777777" w:rsidR="00CD7E19" w:rsidRDefault="00CD7E19"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44BB3" w14:textId="77777777" w:rsidR="00CD7E19" w:rsidRDefault="00CD7E19" w:rsidP="006247CE">
      <w:pPr>
        <w:spacing w:after="0" w:line="240" w:lineRule="auto"/>
      </w:pPr>
      <w:r>
        <w:separator/>
      </w:r>
    </w:p>
  </w:footnote>
  <w:footnote w:type="continuationSeparator" w:id="0">
    <w:p w14:paraId="137A9FDB" w14:textId="77777777" w:rsidR="00CD7E19" w:rsidRDefault="00CD7E19"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3"/>
  </w:num>
  <w:num w:numId="6">
    <w:abstractNumId w:val="8"/>
  </w:num>
  <w:num w:numId="7">
    <w:abstractNumId w:val="0"/>
  </w:num>
  <w:num w:numId="8">
    <w:abstractNumId w:val="11"/>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A6DD0"/>
    <w:rsid w:val="000C14C9"/>
    <w:rsid w:val="000D72C7"/>
    <w:rsid w:val="000F1972"/>
    <w:rsid w:val="00113451"/>
    <w:rsid w:val="00116246"/>
    <w:rsid w:val="00117161"/>
    <w:rsid w:val="001249C3"/>
    <w:rsid w:val="00130BE2"/>
    <w:rsid w:val="001B2875"/>
    <w:rsid w:val="001C257C"/>
    <w:rsid w:val="001C2E4F"/>
    <w:rsid w:val="001C50C1"/>
    <w:rsid w:val="001C589F"/>
    <w:rsid w:val="001C5B98"/>
    <w:rsid w:val="001C65B6"/>
    <w:rsid w:val="001D612C"/>
    <w:rsid w:val="001F4E93"/>
    <w:rsid w:val="0020205C"/>
    <w:rsid w:val="00204381"/>
    <w:rsid w:val="00214D95"/>
    <w:rsid w:val="00217EE3"/>
    <w:rsid w:val="00226167"/>
    <w:rsid w:val="00261F91"/>
    <w:rsid w:val="002723AE"/>
    <w:rsid w:val="00284E8B"/>
    <w:rsid w:val="00285BD0"/>
    <w:rsid w:val="002A0F0F"/>
    <w:rsid w:val="002A1E6A"/>
    <w:rsid w:val="002B740C"/>
    <w:rsid w:val="002B747C"/>
    <w:rsid w:val="002F0BB4"/>
    <w:rsid w:val="002F7EAF"/>
    <w:rsid w:val="00302E10"/>
    <w:rsid w:val="00332724"/>
    <w:rsid w:val="00345B52"/>
    <w:rsid w:val="00363346"/>
    <w:rsid w:val="0036362F"/>
    <w:rsid w:val="003C4BB2"/>
    <w:rsid w:val="003E204B"/>
    <w:rsid w:val="003E4324"/>
    <w:rsid w:val="003F621E"/>
    <w:rsid w:val="00407BDB"/>
    <w:rsid w:val="00437579"/>
    <w:rsid w:val="0044412F"/>
    <w:rsid w:val="00471332"/>
    <w:rsid w:val="00493A4C"/>
    <w:rsid w:val="0049573C"/>
    <w:rsid w:val="004B1277"/>
    <w:rsid w:val="004B3902"/>
    <w:rsid w:val="004B622D"/>
    <w:rsid w:val="004D23F6"/>
    <w:rsid w:val="004E551E"/>
    <w:rsid w:val="004F1FF8"/>
    <w:rsid w:val="004F62D9"/>
    <w:rsid w:val="00511B5A"/>
    <w:rsid w:val="00540AA4"/>
    <w:rsid w:val="00550B08"/>
    <w:rsid w:val="0055150D"/>
    <w:rsid w:val="00553497"/>
    <w:rsid w:val="00566CAE"/>
    <w:rsid w:val="005B7B3F"/>
    <w:rsid w:val="005C0F44"/>
    <w:rsid w:val="005C7794"/>
    <w:rsid w:val="005E7052"/>
    <w:rsid w:val="00604B4A"/>
    <w:rsid w:val="006120E6"/>
    <w:rsid w:val="006247CE"/>
    <w:rsid w:val="0064548D"/>
    <w:rsid w:val="0064772D"/>
    <w:rsid w:val="00664850"/>
    <w:rsid w:val="006B7F83"/>
    <w:rsid w:val="006D1829"/>
    <w:rsid w:val="006E735F"/>
    <w:rsid w:val="006E79FF"/>
    <w:rsid w:val="00720ABB"/>
    <w:rsid w:val="007221DF"/>
    <w:rsid w:val="007229E3"/>
    <w:rsid w:val="007446FD"/>
    <w:rsid w:val="00755025"/>
    <w:rsid w:val="0076037A"/>
    <w:rsid w:val="007716CF"/>
    <w:rsid w:val="007B4F7A"/>
    <w:rsid w:val="007F3C85"/>
    <w:rsid w:val="008249B4"/>
    <w:rsid w:val="008276B8"/>
    <w:rsid w:val="00846DDB"/>
    <w:rsid w:val="00862CCB"/>
    <w:rsid w:val="008852CE"/>
    <w:rsid w:val="008A46AD"/>
    <w:rsid w:val="008B3101"/>
    <w:rsid w:val="008B609D"/>
    <w:rsid w:val="008D4655"/>
    <w:rsid w:val="008E317A"/>
    <w:rsid w:val="008E5A63"/>
    <w:rsid w:val="00906A89"/>
    <w:rsid w:val="0094762B"/>
    <w:rsid w:val="00976FE8"/>
    <w:rsid w:val="009A17EF"/>
    <w:rsid w:val="009A6775"/>
    <w:rsid w:val="009C613A"/>
    <w:rsid w:val="009D1543"/>
    <w:rsid w:val="009D7AE0"/>
    <w:rsid w:val="00A3135A"/>
    <w:rsid w:val="00A95E5C"/>
    <w:rsid w:val="00AA3F19"/>
    <w:rsid w:val="00AB3399"/>
    <w:rsid w:val="00AD236E"/>
    <w:rsid w:val="00AE6B2F"/>
    <w:rsid w:val="00B03B5B"/>
    <w:rsid w:val="00B06987"/>
    <w:rsid w:val="00B06B5C"/>
    <w:rsid w:val="00B07505"/>
    <w:rsid w:val="00B414CE"/>
    <w:rsid w:val="00B46E6F"/>
    <w:rsid w:val="00B94AC2"/>
    <w:rsid w:val="00BA596C"/>
    <w:rsid w:val="00BA7F88"/>
    <w:rsid w:val="00BB4747"/>
    <w:rsid w:val="00BC0036"/>
    <w:rsid w:val="00BE00D3"/>
    <w:rsid w:val="00BE356F"/>
    <w:rsid w:val="00BF4DC8"/>
    <w:rsid w:val="00C04D48"/>
    <w:rsid w:val="00C16ADB"/>
    <w:rsid w:val="00C270FD"/>
    <w:rsid w:val="00C273A6"/>
    <w:rsid w:val="00C30C1F"/>
    <w:rsid w:val="00C545F0"/>
    <w:rsid w:val="00C77C17"/>
    <w:rsid w:val="00C86028"/>
    <w:rsid w:val="00CB101B"/>
    <w:rsid w:val="00CB38ED"/>
    <w:rsid w:val="00CD7E19"/>
    <w:rsid w:val="00CE6B8A"/>
    <w:rsid w:val="00D07C64"/>
    <w:rsid w:val="00D25202"/>
    <w:rsid w:val="00D30793"/>
    <w:rsid w:val="00D308D1"/>
    <w:rsid w:val="00D36AF3"/>
    <w:rsid w:val="00D5558E"/>
    <w:rsid w:val="00D81C35"/>
    <w:rsid w:val="00DA3FA1"/>
    <w:rsid w:val="00DB2AFC"/>
    <w:rsid w:val="00DD5EEB"/>
    <w:rsid w:val="00E214AC"/>
    <w:rsid w:val="00E3361D"/>
    <w:rsid w:val="00E362CA"/>
    <w:rsid w:val="00E56A95"/>
    <w:rsid w:val="00E6199F"/>
    <w:rsid w:val="00E72427"/>
    <w:rsid w:val="00E734FF"/>
    <w:rsid w:val="00E975B9"/>
    <w:rsid w:val="00EA1B39"/>
    <w:rsid w:val="00EC455C"/>
    <w:rsid w:val="00ED0369"/>
    <w:rsid w:val="00ED2C5E"/>
    <w:rsid w:val="00ED3ABD"/>
    <w:rsid w:val="00EE59D7"/>
    <w:rsid w:val="00F16921"/>
    <w:rsid w:val="00F30CBB"/>
    <w:rsid w:val="00F43C71"/>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2021-11-04T13:28:00Z</dcterms:created>
  <dcterms:modified xsi:type="dcterms:W3CDTF">2021-11-04T16:23:00Z</dcterms:modified>
</cp:coreProperties>
</file>