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F13ECF"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1DE1DA1" w:rsidR="00ED3ABD" w:rsidRPr="00550B08" w:rsidRDefault="00F13EC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20 December</w:t>
      </w:r>
      <w:r w:rsidR="003C4BB2" w:rsidRPr="00550B08">
        <w:rPr>
          <w:rStyle w:val="Hyperlink"/>
          <w:rFonts w:ascii="Arial" w:hAnsi="Arial" w:cs="Arial"/>
          <w:b/>
          <w:bCs/>
          <w:color w:val="505050"/>
          <w:sz w:val="18"/>
          <w:szCs w:val="18"/>
          <w:u w:val="none"/>
        </w:rPr>
        <w:t xml:space="preserve"> 202</w:t>
      </w:r>
      <w:r>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003ADB92" w:rsidR="0055150D" w:rsidRPr="00DB2AFC" w:rsidRDefault="005A198F" w:rsidP="00DB2AFC">
      <w:pPr>
        <w:jc w:val="center"/>
        <w:rPr>
          <w:rFonts w:ascii="Arial" w:hAnsi="Arial" w:cs="Arial"/>
          <w:b/>
          <w:bCs/>
          <w:sz w:val="32"/>
          <w:szCs w:val="32"/>
        </w:rPr>
      </w:pPr>
      <w:r>
        <w:rPr>
          <w:rFonts w:ascii="Arial" w:hAnsi="Arial" w:cs="Arial"/>
          <w:b/>
          <w:bCs/>
          <w:sz w:val="32"/>
          <w:szCs w:val="32"/>
        </w:rPr>
        <w:t>Bad weather and rising Covid cases drive demand for foodservice delivery</w:t>
      </w:r>
    </w:p>
    <w:p w14:paraId="7D1A4637" w14:textId="6E00F4FC" w:rsidR="005A198F" w:rsidRDefault="007446FD" w:rsidP="005A198F">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w:t>
      </w:r>
      <w:r w:rsidR="005A198F">
        <w:rPr>
          <w:rFonts w:ascii="Arial" w:hAnsi="Arial" w:cs="Arial"/>
          <w:sz w:val="20"/>
          <w:szCs w:val="20"/>
        </w:rPr>
        <w:t>latest update to the</w:t>
      </w:r>
      <w:r w:rsidR="00DB2AFC">
        <w:rPr>
          <w:rFonts w:ascii="Arial" w:hAnsi="Arial" w:cs="Arial"/>
          <w:sz w:val="20"/>
          <w:szCs w:val="20"/>
        </w:rPr>
        <w:t xml:space="preserve"> Lumina Intelligence UK Food</w:t>
      </w:r>
      <w:r w:rsidR="00BF4DC8">
        <w:rPr>
          <w:rFonts w:ascii="Arial" w:hAnsi="Arial" w:cs="Arial"/>
          <w:sz w:val="20"/>
          <w:szCs w:val="20"/>
        </w:rPr>
        <w:t>service Delivery Market</w:t>
      </w:r>
      <w:r w:rsidR="00DB2AFC">
        <w:rPr>
          <w:rFonts w:ascii="Arial" w:hAnsi="Arial" w:cs="Arial"/>
          <w:sz w:val="20"/>
          <w:szCs w:val="20"/>
        </w:rPr>
        <w:t xml:space="preserve"> Report 202</w:t>
      </w:r>
      <w:r w:rsidR="00D36AF3">
        <w:rPr>
          <w:rFonts w:ascii="Arial" w:hAnsi="Arial" w:cs="Arial"/>
          <w:sz w:val="20"/>
          <w:szCs w:val="20"/>
        </w:rPr>
        <w:t xml:space="preserve">1, </w:t>
      </w:r>
      <w:r w:rsidR="005A198F">
        <w:rPr>
          <w:rFonts w:ascii="Arial" w:hAnsi="Arial" w:cs="Arial"/>
          <w:sz w:val="20"/>
          <w:szCs w:val="20"/>
        </w:rPr>
        <w:t>in the 12 weeks ending (12WE) 28/11/2021, d</w:t>
      </w:r>
      <w:r w:rsidR="005A198F" w:rsidRPr="005A198F">
        <w:rPr>
          <w:rFonts w:ascii="Arial" w:hAnsi="Arial" w:cs="Arial"/>
          <w:sz w:val="20"/>
          <w:szCs w:val="20"/>
        </w:rPr>
        <w:t>elivery occasions increased by +2ppts.</w:t>
      </w:r>
      <w:r w:rsidR="005A198F">
        <w:rPr>
          <w:rFonts w:ascii="Arial" w:hAnsi="Arial" w:cs="Arial"/>
          <w:sz w:val="20"/>
          <w:szCs w:val="20"/>
        </w:rPr>
        <w:t xml:space="preserve"> </w:t>
      </w:r>
      <w:r w:rsidR="005A198F" w:rsidRPr="005A198F">
        <w:rPr>
          <w:rFonts w:ascii="Arial" w:hAnsi="Arial" w:cs="Arial"/>
          <w:sz w:val="20"/>
          <w:szCs w:val="20"/>
        </w:rPr>
        <w:t>There was a small increase in the number of</w:t>
      </w:r>
      <w:r w:rsidR="005A198F">
        <w:rPr>
          <w:rFonts w:ascii="Arial" w:hAnsi="Arial" w:cs="Arial"/>
          <w:sz w:val="20"/>
          <w:szCs w:val="20"/>
        </w:rPr>
        <w:t xml:space="preserve"> </w:t>
      </w:r>
      <w:r w:rsidR="005A198F" w:rsidRPr="005A198F">
        <w:rPr>
          <w:rFonts w:ascii="Arial" w:hAnsi="Arial" w:cs="Arial"/>
          <w:sz w:val="20"/>
          <w:szCs w:val="20"/>
        </w:rPr>
        <w:t>delivery occasions at the start of October, due to the increase in offers available in the build up to Halloween.</w:t>
      </w:r>
    </w:p>
    <w:p w14:paraId="35C34DC0" w14:textId="414381DF" w:rsidR="005A198F" w:rsidRDefault="005A198F" w:rsidP="005A198F">
      <w:pPr>
        <w:rPr>
          <w:rFonts w:ascii="Arial" w:hAnsi="Arial" w:cs="Arial"/>
          <w:sz w:val="20"/>
          <w:szCs w:val="20"/>
        </w:rPr>
      </w:pPr>
      <w:r>
        <w:rPr>
          <w:rFonts w:ascii="Arial" w:hAnsi="Arial" w:cs="Arial"/>
          <w:sz w:val="20"/>
          <w:szCs w:val="20"/>
        </w:rPr>
        <w:t>In November, delivery’s share of total eating out occasions peaked at 19%, having dropped as low as 15% during October. This</w:t>
      </w:r>
      <w:r w:rsidRPr="005A198F">
        <w:rPr>
          <w:rFonts w:ascii="Arial" w:hAnsi="Arial" w:cs="Arial"/>
          <w:sz w:val="20"/>
          <w:szCs w:val="20"/>
        </w:rPr>
        <w:t xml:space="preserve"> increase </w:t>
      </w:r>
      <w:r>
        <w:rPr>
          <w:rFonts w:ascii="Arial" w:hAnsi="Arial" w:cs="Arial"/>
          <w:sz w:val="20"/>
          <w:szCs w:val="20"/>
        </w:rPr>
        <w:t>is</w:t>
      </w:r>
      <w:r w:rsidRPr="005A198F">
        <w:rPr>
          <w:rFonts w:ascii="Arial" w:hAnsi="Arial" w:cs="Arial"/>
          <w:sz w:val="20"/>
          <w:szCs w:val="20"/>
        </w:rPr>
        <w:t xml:space="preserve"> likely due to</w:t>
      </w:r>
      <w:r>
        <w:rPr>
          <w:rFonts w:ascii="Arial" w:hAnsi="Arial" w:cs="Arial"/>
          <w:sz w:val="20"/>
          <w:szCs w:val="20"/>
        </w:rPr>
        <w:t xml:space="preserve"> the recent bad weather -</w:t>
      </w:r>
      <w:r w:rsidRPr="005A198F">
        <w:rPr>
          <w:rFonts w:ascii="Arial" w:hAnsi="Arial" w:cs="Arial"/>
          <w:sz w:val="20"/>
          <w:szCs w:val="20"/>
        </w:rPr>
        <w:t xml:space="preserve"> Storm Arwen</w:t>
      </w:r>
      <w:r>
        <w:rPr>
          <w:rFonts w:ascii="Arial" w:hAnsi="Arial" w:cs="Arial"/>
          <w:sz w:val="20"/>
          <w:szCs w:val="20"/>
        </w:rPr>
        <w:t xml:space="preserve"> -</w:t>
      </w:r>
      <w:r w:rsidRPr="005A198F">
        <w:rPr>
          <w:rFonts w:ascii="Arial" w:hAnsi="Arial" w:cs="Arial"/>
          <w:sz w:val="20"/>
          <w:szCs w:val="20"/>
        </w:rPr>
        <w:t xml:space="preserve"> causing people to stay inside as well as concerns for the Omicron variant</w:t>
      </w:r>
      <w:r>
        <w:rPr>
          <w:rFonts w:ascii="Arial" w:hAnsi="Arial" w:cs="Arial"/>
          <w:sz w:val="20"/>
          <w:szCs w:val="20"/>
        </w:rPr>
        <w:t>.</w:t>
      </w:r>
    </w:p>
    <w:p w14:paraId="55DA14AA" w14:textId="5FBEB437" w:rsidR="005A198F" w:rsidRDefault="005A198F" w:rsidP="005A198F">
      <w:pPr>
        <w:rPr>
          <w:rFonts w:ascii="Arial" w:hAnsi="Arial" w:cs="Arial"/>
          <w:sz w:val="20"/>
          <w:szCs w:val="20"/>
        </w:rPr>
      </w:pPr>
      <w:r w:rsidRPr="005A198F">
        <w:rPr>
          <w:rFonts w:ascii="Arial" w:hAnsi="Arial" w:cs="Arial"/>
          <w:sz w:val="20"/>
          <w:szCs w:val="20"/>
        </w:rPr>
        <w:t>McDonald’s continue to dominate foodservice delivery</w:t>
      </w:r>
      <w:r>
        <w:rPr>
          <w:rFonts w:ascii="Arial" w:hAnsi="Arial" w:cs="Arial"/>
          <w:sz w:val="20"/>
          <w:szCs w:val="20"/>
        </w:rPr>
        <w:t>, accounting for 19% of total foodservice delivery occasions during the 12 week period. F</w:t>
      </w:r>
      <w:r w:rsidRPr="005A198F">
        <w:rPr>
          <w:rFonts w:ascii="Arial" w:hAnsi="Arial" w:cs="Arial"/>
          <w:sz w:val="20"/>
          <w:szCs w:val="20"/>
        </w:rPr>
        <w:t>ive Guys has appeared in the leading brands by</w:t>
      </w:r>
      <w:r>
        <w:rPr>
          <w:rFonts w:ascii="Arial" w:hAnsi="Arial" w:cs="Arial"/>
          <w:sz w:val="20"/>
          <w:szCs w:val="20"/>
        </w:rPr>
        <w:t xml:space="preserve"> </w:t>
      </w:r>
      <w:r w:rsidRPr="005A198F">
        <w:rPr>
          <w:rFonts w:ascii="Arial" w:hAnsi="Arial" w:cs="Arial"/>
          <w:sz w:val="20"/>
          <w:szCs w:val="20"/>
        </w:rPr>
        <w:t>share of occasions for the first time, with the brand putting a greater focus on its delivery service as a result of strong delivery sales</w:t>
      </w:r>
      <w:r>
        <w:rPr>
          <w:rFonts w:ascii="Arial" w:hAnsi="Arial" w:cs="Arial"/>
          <w:sz w:val="20"/>
          <w:szCs w:val="20"/>
        </w:rPr>
        <w:t xml:space="preserve"> </w:t>
      </w:r>
      <w:r w:rsidRPr="005A198F">
        <w:rPr>
          <w:rFonts w:ascii="Arial" w:hAnsi="Arial" w:cs="Arial"/>
          <w:sz w:val="20"/>
          <w:szCs w:val="20"/>
        </w:rPr>
        <w:t>throughout the pandemic.</w:t>
      </w:r>
    </w:p>
    <w:p w14:paraId="72FAD10F" w14:textId="67650F08" w:rsidR="005A198F" w:rsidRDefault="00A131B6" w:rsidP="00A131B6">
      <w:pPr>
        <w:rPr>
          <w:rFonts w:ascii="Arial" w:hAnsi="Arial" w:cs="Arial"/>
          <w:sz w:val="20"/>
          <w:szCs w:val="20"/>
        </w:rPr>
      </w:pPr>
      <w:r w:rsidRPr="00A131B6">
        <w:rPr>
          <w:rFonts w:ascii="Arial" w:hAnsi="Arial" w:cs="Arial"/>
          <w:sz w:val="20"/>
          <w:szCs w:val="20"/>
        </w:rPr>
        <w:t>Older consumers aged 45</w:t>
      </w:r>
      <w:r>
        <w:rPr>
          <w:rFonts w:ascii="Arial" w:hAnsi="Arial" w:cs="Arial"/>
          <w:sz w:val="20"/>
          <w:szCs w:val="20"/>
        </w:rPr>
        <w:t>-</w:t>
      </w:r>
      <w:r w:rsidRPr="00A131B6">
        <w:rPr>
          <w:rFonts w:ascii="Arial" w:hAnsi="Arial" w:cs="Arial"/>
          <w:sz w:val="20"/>
          <w:szCs w:val="20"/>
        </w:rPr>
        <w:t>65+ have grown share of delivery occasions by +4ppts</w:t>
      </w:r>
      <w:r>
        <w:rPr>
          <w:rFonts w:ascii="Arial" w:hAnsi="Arial" w:cs="Arial"/>
          <w:sz w:val="20"/>
          <w:szCs w:val="20"/>
        </w:rPr>
        <w:t>, however it remains that younger consumers are the driving force behind the growth of foodservice delivery, with one-in-two delivery consumers aged 18-34</w:t>
      </w:r>
      <w:r w:rsidR="00550ADD">
        <w:rPr>
          <w:rFonts w:ascii="Arial" w:hAnsi="Arial" w:cs="Arial"/>
          <w:sz w:val="20"/>
          <w:szCs w:val="20"/>
        </w:rPr>
        <w:t>.</w:t>
      </w:r>
    </w:p>
    <w:p w14:paraId="2AFE8F55" w14:textId="0C6FE904" w:rsidR="00550ADD" w:rsidRDefault="00550ADD" w:rsidP="00A131B6">
      <w:pPr>
        <w:rPr>
          <w:rFonts w:ascii="Arial" w:hAnsi="Arial" w:cs="Arial"/>
          <w:b/>
          <w:bCs/>
          <w:sz w:val="20"/>
          <w:szCs w:val="20"/>
        </w:rPr>
      </w:pPr>
      <w:r>
        <w:rPr>
          <w:rFonts w:ascii="Arial" w:hAnsi="Arial" w:cs="Arial"/>
          <w:b/>
          <w:bCs/>
          <w:sz w:val="20"/>
          <w:szCs w:val="20"/>
        </w:rPr>
        <w:t>Share of total occasions by age:</w:t>
      </w:r>
    </w:p>
    <w:tbl>
      <w:tblPr>
        <w:tblStyle w:val="TableGrid"/>
        <w:tblW w:w="0" w:type="auto"/>
        <w:tblLook w:val="04A0" w:firstRow="1" w:lastRow="0" w:firstColumn="1" w:lastColumn="0" w:noHBand="0" w:noVBand="1"/>
      </w:tblPr>
      <w:tblGrid>
        <w:gridCol w:w="988"/>
        <w:gridCol w:w="708"/>
      </w:tblGrid>
      <w:tr w:rsidR="00550ADD" w14:paraId="3CCBB61B" w14:textId="77777777" w:rsidTr="00550ADD">
        <w:tc>
          <w:tcPr>
            <w:tcW w:w="988" w:type="dxa"/>
          </w:tcPr>
          <w:p w14:paraId="38FC92EA" w14:textId="3B60FD47" w:rsidR="00550ADD" w:rsidRPr="00550ADD" w:rsidRDefault="00550ADD" w:rsidP="00A131B6">
            <w:pPr>
              <w:rPr>
                <w:rFonts w:ascii="Arial" w:hAnsi="Arial" w:cs="Arial"/>
                <w:sz w:val="20"/>
                <w:szCs w:val="20"/>
              </w:rPr>
            </w:pPr>
            <w:r w:rsidRPr="00550ADD">
              <w:rPr>
                <w:rFonts w:ascii="Arial" w:hAnsi="Arial" w:cs="Arial"/>
                <w:sz w:val="20"/>
                <w:szCs w:val="20"/>
              </w:rPr>
              <w:t>18-24</w:t>
            </w:r>
          </w:p>
        </w:tc>
        <w:tc>
          <w:tcPr>
            <w:tcW w:w="708" w:type="dxa"/>
          </w:tcPr>
          <w:p w14:paraId="4C9CF765" w14:textId="2BECB14C" w:rsidR="00550ADD" w:rsidRPr="00550ADD" w:rsidRDefault="00550ADD" w:rsidP="00A131B6">
            <w:pPr>
              <w:rPr>
                <w:rFonts w:ascii="Arial" w:hAnsi="Arial" w:cs="Arial"/>
                <w:sz w:val="20"/>
                <w:szCs w:val="20"/>
              </w:rPr>
            </w:pPr>
            <w:r>
              <w:rPr>
                <w:rFonts w:ascii="Arial" w:hAnsi="Arial" w:cs="Arial"/>
                <w:sz w:val="20"/>
                <w:szCs w:val="20"/>
              </w:rPr>
              <w:t>20%</w:t>
            </w:r>
          </w:p>
        </w:tc>
      </w:tr>
      <w:tr w:rsidR="00550ADD" w14:paraId="13F81D8F" w14:textId="77777777" w:rsidTr="00550ADD">
        <w:tc>
          <w:tcPr>
            <w:tcW w:w="988" w:type="dxa"/>
          </w:tcPr>
          <w:p w14:paraId="6E161088" w14:textId="0B6312BC" w:rsidR="00550ADD" w:rsidRPr="00550ADD" w:rsidRDefault="00550ADD" w:rsidP="00A131B6">
            <w:pPr>
              <w:rPr>
                <w:rFonts w:ascii="Arial" w:hAnsi="Arial" w:cs="Arial"/>
                <w:sz w:val="20"/>
                <w:szCs w:val="20"/>
              </w:rPr>
            </w:pPr>
            <w:r w:rsidRPr="00550ADD">
              <w:rPr>
                <w:rFonts w:ascii="Arial" w:hAnsi="Arial" w:cs="Arial"/>
                <w:sz w:val="20"/>
                <w:szCs w:val="20"/>
              </w:rPr>
              <w:t>25-34</w:t>
            </w:r>
          </w:p>
        </w:tc>
        <w:tc>
          <w:tcPr>
            <w:tcW w:w="708" w:type="dxa"/>
          </w:tcPr>
          <w:p w14:paraId="5F8532BB" w14:textId="5BFEFD2C" w:rsidR="00550ADD" w:rsidRPr="00550ADD" w:rsidRDefault="00550ADD" w:rsidP="00A131B6">
            <w:pPr>
              <w:rPr>
                <w:rFonts w:ascii="Arial" w:hAnsi="Arial" w:cs="Arial"/>
                <w:sz w:val="20"/>
                <w:szCs w:val="20"/>
              </w:rPr>
            </w:pPr>
            <w:r>
              <w:rPr>
                <w:rFonts w:ascii="Arial" w:hAnsi="Arial" w:cs="Arial"/>
                <w:sz w:val="20"/>
                <w:szCs w:val="20"/>
              </w:rPr>
              <w:t>31%</w:t>
            </w:r>
          </w:p>
        </w:tc>
      </w:tr>
      <w:tr w:rsidR="00550ADD" w14:paraId="3E8CD200" w14:textId="77777777" w:rsidTr="00550ADD">
        <w:tc>
          <w:tcPr>
            <w:tcW w:w="988" w:type="dxa"/>
          </w:tcPr>
          <w:p w14:paraId="3092A076" w14:textId="782F0F3C" w:rsidR="00550ADD" w:rsidRPr="00550ADD" w:rsidRDefault="00550ADD" w:rsidP="00A131B6">
            <w:pPr>
              <w:rPr>
                <w:rFonts w:ascii="Arial" w:hAnsi="Arial" w:cs="Arial"/>
                <w:sz w:val="20"/>
                <w:szCs w:val="20"/>
              </w:rPr>
            </w:pPr>
            <w:r w:rsidRPr="00550ADD">
              <w:rPr>
                <w:rFonts w:ascii="Arial" w:hAnsi="Arial" w:cs="Arial"/>
                <w:sz w:val="20"/>
                <w:szCs w:val="20"/>
              </w:rPr>
              <w:t>35-44</w:t>
            </w:r>
          </w:p>
        </w:tc>
        <w:tc>
          <w:tcPr>
            <w:tcW w:w="708" w:type="dxa"/>
          </w:tcPr>
          <w:p w14:paraId="04229A79" w14:textId="6B5A0794" w:rsidR="00550ADD" w:rsidRPr="00550ADD" w:rsidRDefault="00550ADD" w:rsidP="00A131B6">
            <w:pPr>
              <w:rPr>
                <w:rFonts w:ascii="Arial" w:hAnsi="Arial" w:cs="Arial"/>
                <w:sz w:val="20"/>
                <w:szCs w:val="20"/>
              </w:rPr>
            </w:pPr>
            <w:r>
              <w:rPr>
                <w:rFonts w:ascii="Arial" w:hAnsi="Arial" w:cs="Arial"/>
                <w:sz w:val="20"/>
                <w:szCs w:val="20"/>
              </w:rPr>
              <w:t>23%</w:t>
            </w:r>
          </w:p>
        </w:tc>
      </w:tr>
      <w:tr w:rsidR="00550ADD" w14:paraId="7041055B" w14:textId="77777777" w:rsidTr="00550ADD">
        <w:tc>
          <w:tcPr>
            <w:tcW w:w="988" w:type="dxa"/>
          </w:tcPr>
          <w:p w14:paraId="3B610CC3" w14:textId="26E24B97" w:rsidR="00550ADD" w:rsidRPr="00550ADD" w:rsidRDefault="00550ADD" w:rsidP="00A131B6">
            <w:pPr>
              <w:rPr>
                <w:rFonts w:ascii="Arial" w:hAnsi="Arial" w:cs="Arial"/>
                <w:sz w:val="20"/>
                <w:szCs w:val="20"/>
              </w:rPr>
            </w:pPr>
            <w:r w:rsidRPr="00550ADD">
              <w:rPr>
                <w:rFonts w:ascii="Arial" w:hAnsi="Arial" w:cs="Arial"/>
                <w:sz w:val="20"/>
                <w:szCs w:val="20"/>
              </w:rPr>
              <w:t>45-54</w:t>
            </w:r>
          </w:p>
        </w:tc>
        <w:tc>
          <w:tcPr>
            <w:tcW w:w="708" w:type="dxa"/>
          </w:tcPr>
          <w:p w14:paraId="1533689D" w14:textId="239A65F5" w:rsidR="00550ADD" w:rsidRPr="00550ADD" w:rsidRDefault="00550ADD" w:rsidP="00A131B6">
            <w:pPr>
              <w:rPr>
                <w:rFonts w:ascii="Arial" w:hAnsi="Arial" w:cs="Arial"/>
                <w:sz w:val="20"/>
                <w:szCs w:val="20"/>
              </w:rPr>
            </w:pPr>
            <w:r>
              <w:rPr>
                <w:rFonts w:ascii="Arial" w:hAnsi="Arial" w:cs="Arial"/>
                <w:sz w:val="20"/>
                <w:szCs w:val="20"/>
              </w:rPr>
              <w:t>16%</w:t>
            </w:r>
          </w:p>
        </w:tc>
      </w:tr>
      <w:tr w:rsidR="00550ADD" w14:paraId="04B587DE" w14:textId="77777777" w:rsidTr="00550ADD">
        <w:tc>
          <w:tcPr>
            <w:tcW w:w="988" w:type="dxa"/>
          </w:tcPr>
          <w:p w14:paraId="0977685A" w14:textId="3F70006B" w:rsidR="00550ADD" w:rsidRPr="00550ADD" w:rsidRDefault="00550ADD" w:rsidP="00A131B6">
            <w:pPr>
              <w:rPr>
                <w:rFonts w:ascii="Arial" w:hAnsi="Arial" w:cs="Arial"/>
                <w:sz w:val="20"/>
                <w:szCs w:val="20"/>
              </w:rPr>
            </w:pPr>
            <w:r w:rsidRPr="00550ADD">
              <w:rPr>
                <w:rFonts w:ascii="Arial" w:hAnsi="Arial" w:cs="Arial"/>
                <w:sz w:val="20"/>
                <w:szCs w:val="20"/>
              </w:rPr>
              <w:t>55-64</w:t>
            </w:r>
          </w:p>
        </w:tc>
        <w:tc>
          <w:tcPr>
            <w:tcW w:w="708" w:type="dxa"/>
          </w:tcPr>
          <w:p w14:paraId="44EAF493" w14:textId="212E061A" w:rsidR="00550ADD" w:rsidRPr="00550ADD" w:rsidRDefault="00550ADD" w:rsidP="00A131B6">
            <w:pPr>
              <w:rPr>
                <w:rFonts w:ascii="Arial" w:hAnsi="Arial" w:cs="Arial"/>
                <w:sz w:val="20"/>
                <w:szCs w:val="20"/>
              </w:rPr>
            </w:pPr>
            <w:r>
              <w:rPr>
                <w:rFonts w:ascii="Arial" w:hAnsi="Arial" w:cs="Arial"/>
                <w:sz w:val="20"/>
                <w:szCs w:val="20"/>
              </w:rPr>
              <w:t>7%</w:t>
            </w:r>
          </w:p>
        </w:tc>
      </w:tr>
      <w:tr w:rsidR="00550ADD" w14:paraId="22B0A744" w14:textId="77777777" w:rsidTr="00550ADD">
        <w:tc>
          <w:tcPr>
            <w:tcW w:w="988" w:type="dxa"/>
          </w:tcPr>
          <w:p w14:paraId="056933EE" w14:textId="3F614555" w:rsidR="00550ADD" w:rsidRPr="00550ADD" w:rsidRDefault="00550ADD" w:rsidP="00A131B6">
            <w:pPr>
              <w:rPr>
                <w:rFonts w:ascii="Arial" w:hAnsi="Arial" w:cs="Arial"/>
                <w:sz w:val="20"/>
                <w:szCs w:val="20"/>
              </w:rPr>
            </w:pPr>
            <w:r w:rsidRPr="00550ADD">
              <w:rPr>
                <w:rFonts w:ascii="Arial" w:hAnsi="Arial" w:cs="Arial"/>
                <w:sz w:val="20"/>
                <w:szCs w:val="20"/>
              </w:rPr>
              <w:t>65+</w:t>
            </w:r>
          </w:p>
        </w:tc>
        <w:tc>
          <w:tcPr>
            <w:tcW w:w="708" w:type="dxa"/>
          </w:tcPr>
          <w:p w14:paraId="2FF9F173" w14:textId="6C7FAD8E" w:rsidR="00550ADD" w:rsidRPr="00550ADD" w:rsidRDefault="00550ADD" w:rsidP="00A131B6">
            <w:pPr>
              <w:rPr>
                <w:rFonts w:ascii="Arial" w:hAnsi="Arial" w:cs="Arial"/>
                <w:sz w:val="20"/>
                <w:szCs w:val="20"/>
              </w:rPr>
            </w:pPr>
            <w:r>
              <w:rPr>
                <w:rFonts w:ascii="Arial" w:hAnsi="Arial" w:cs="Arial"/>
                <w:sz w:val="20"/>
                <w:szCs w:val="20"/>
              </w:rPr>
              <w:t>5%</w:t>
            </w:r>
          </w:p>
        </w:tc>
      </w:tr>
    </w:tbl>
    <w:p w14:paraId="3C4AF9F2" w14:textId="77777777" w:rsidR="00550ADD" w:rsidRPr="00550ADD" w:rsidRDefault="00550ADD" w:rsidP="00A131B6">
      <w:pPr>
        <w:rPr>
          <w:rFonts w:ascii="Arial" w:hAnsi="Arial" w:cs="Arial"/>
          <w:b/>
          <w:bCs/>
          <w:sz w:val="20"/>
          <w:szCs w:val="20"/>
        </w:rPr>
      </w:pPr>
    </w:p>
    <w:p w14:paraId="5DD1BD9D" w14:textId="6017BBF7" w:rsidR="00A131B6" w:rsidRDefault="008144C2" w:rsidP="00A131B6">
      <w:pPr>
        <w:rPr>
          <w:rFonts w:ascii="Arial" w:hAnsi="Arial" w:cs="Arial"/>
          <w:sz w:val="20"/>
          <w:szCs w:val="20"/>
        </w:rPr>
      </w:pPr>
      <w:r>
        <w:rPr>
          <w:rFonts w:ascii="Arial" w:hAnsi="Arial" w:cs="Arial"/>
          <w:i/>
          <w:iCs/>
          <w:sz w:val="20"/>
          <w:szCs w:val="20"/>
        </w:rPr>
        <w:t xml:space="preserve">Didn’t want to cook </w:t>
      </w:r>
      <w:r>
        <w:rPr>
          <w:rFonts w:ascii="Arial" w:hAnsi="Arial" w:cs="Arial"/>
          <w:sz w:val="20"/>
          <w:szCs w:val="20"/>
        </w:rPr>
        <w:t xml:space="preserve">(24%), </w:t>
      </w:r>
      <w:r>
        <w:rPr>
          <w:rFonts w:ascii="Arial" w:hAnsi="Arial" w:cs="Arial"/>
          <w:i/>
          <w:iCs/>
          <w:sz w:val="20"/>
          <w:szCs w:val="20"/>
        </w:rPr>
        <w:t xml:space="preserve">Treat </w:t>
      </w:r>
      <w:r>
        <w:rPr>
          <w:rFonts w:ascii="Arial" w:hAnsi="Arial" w:cs="Arial"/>
          <w:sz w:val="20"/>
          <w:szCs w:val="20"/>
        </w:rPr>
        <w:t xml:space="preserve">(18%) and </w:t>
      </w:r>
      <w:r>
        <w:rPr>
          <w:rFonts w:ascii="Arial" w:hAnsi="Arial" w:cs="Arial"/>
          <w:i/>
          <w:iCs/>
          <w:sz w:val="20"/>
          <w:szCs w:val="20"/>
        </w:rPr>
        <w:t xml:space="preserve">To spend time with family </w:t>
      </w:r>
      <w:r>
        <w:rPr>
          <w:rFonts w:ascii="Arial" w:hAnsi="Arial" w:cs="Arial"/>
          <w:sz w:val="20"/>
          <w:szCs w:val="20"/>
        </w:rPr>
        <w:t>(9%) are the three most common reasons for consumers ordering foodservice delivery.</w:t>
      </w:r>
    </w:p>
    <w:p w14:paraId="0992DFC1" w14:textId="04FB82A1" w:rsidR="008144C2" w:rsidRDefault="008144C2" w:rsidP="00A131B6">
      <w:pPr>
        <w:rPr>
          <w:rFonts w:ascii="Arial" w:hAnsi="Arial" w:cs="Arial"/>
          <w:i/>
          <w:iCs/>
          <w:sz w:val="20"/>
          <w:szCs w:val="20"/>
        </w:rPr>
      </w:pPr>
      <w:r>
        <w:rPr>
          <w:rFonts w:ascii="Arial" w:hAnsi="Arial" w:cs="Arial"/>
          <w:sz w:val="20"/>
          <w:szCs w:val="20"/>
        </w:rPr>
        <w:t xml:space="preserve">The top three reasons for choosing a particular establishment are </w:t>
      </w:r>
      <w:r>
        <w:rPr>
          <w:rFonts w:ascii="Arial" w:hAnsi="Arial" w:cs="Arial"/>
          <w:i/>
          <w:iCs/>
          <w:sz w:val="20"/>
          <w:szCs w:val="20"/>
        </w:rPr>
        <w:t>I’ve been there before, It’s good value for money</w:t>
      </w:r>
      <w:r>
        <w:rPr>
          <w:rFonts w:ascii="Arial" w:hAnsi="Arial" w:cs="Arial"/>
          <w:sz w:val="20"/>
          <w:szCs w:val="20"/>
        </w:rPr>
        <w:t xml:space="preserve"> and </w:t>
      </w:r>
      <w:r>
        <w:rPr>
          <w:rFonts w:ascii="Arial" w:hAnsi="Arial" w:cs="Arial"/>
          <w:i/>
          <w:iCs/>
          <w:sz w:val="20"/>
          <w:szCs w:val="20"/>
        </w:rPr>
        <w:t>Quality of ingredients.</w:t>
      </w:r>
    </w:p>
    <w:p w14:paraId="68874F62" w14:textId="2414CAE4" w:rsidR="00493A4C" w:rsidRDefault="001C257C" w:rsidP="008E5A63">
      <w:pPr>
        <w:rPr>
          <w:rFonts w:ascii="Arial" w:hAnsi="Arial" w:cs="Arial"/>
          <w:i/>
          <w:iCs/>
          <w:sz w:val="20"/>
          <w:szCs w:val="20"/>
        </w:rPr>
      </w:pPr>
      <w:r>
        <w:rPr>
          <w:rFonts w:ascii="Arial" w:hAnsi="Arial" w:cs="Arial"/>
          <w:sz w:val="20"/>
          <w:szCs w:val="20"/>
        </w:rPr>
        <w:t xml:space="preserve">Commenting on the </w:t>
      </w:r>
      <w:r w:rsidR="00654AE2">
        <w:rPr>
          <w:rFonts w:ascii="Arial" w:hAnsi="Arial" w:cs="Arial"/>
          <w:sz w:val="20"/>
          <w:szCs w:val="20"/>
        </w:rPr>
        <w:t>report findings</w:t>
      </w:r>
      <w:r>
        <w:rPr>
          <w:rFonts w:ascii="Arial" w:hAnsi="Arial" w:cs="Arial"/>
          <w:sz w:val="20"/>
          <w:szCs w:val="20"/>
        </w:rPr>
        <w:t>, Blonnie Whist, Insight</w:t>
      </w:r>
      <w:r w:rsidR="00654AE2">
        <w:rPr>
          <w:rFonts w:ascii="Arial" w:hAnsi="Arial" w:cs="Arial"/>
          <w:sz w:val="20"/>
          <w:szCs w:val="20"/>
        </w:rPr>
        <w:t xml:space="preserve"> Director</w:t>
      </w:r>
      <w:r>
        <w:rPr>
          <w:rFonts w:ascii="Arial" w:hAnsi="Arial" w:cs="Arial"/>
          <w:sz w:val="20"/>
          <w:szCs w:val="20"/>
        </w:rPr>
        <w:t xml:space="preserve"> at Lumina Intelligence said, </w:t>
      </w:r>
      <w:r w:rsidRPr="00E362CA">
        <w:rPr>
          <w:rFonts w:ascii="Arial" w:hAnsi="Arial" w:cs="Arial"/>
          <w:i/>
          <w:iCs/>
          <w:sz w:val="20"/>
          <w:szCs w:val="20"/>
        </w:rPr>
        <w:t>“</w:t>
      </w:r>
      <w:r w:rsidR="008144C2">
        <w:rPr>
          <w:rFonts w:ascii="Arial" w:hAnsi="Arial" w:cs="Arial"/>
          <w:i/>
          <w:iCs/>
          <w:sz w:val="20"/>
          <w:szCs w:val="20"/>
        </w:rPr>
        <w:t>With the weather turning colder, we expect to see an uptick in delivery over the Winter months. However, with the volume of Covid cases rising rapidly and the potential for tougher restrictions, delivery could become critical to operators once again over the coming weeks and months. Consumers are likely to become more selective on how they spend their free time, opting to stay in with friends rather than go to busy pubs or restaurants in order to limit risks and ensure festive plans don’t have to change last minute due to isolation.”</w:t>
      </w:r>
    </w:p>
    <w:p w14:paraId="15CD2A7D" w14:textId="77777777" w:rsidR="008144C2" w:rsidRPr="008144C2" w:rsidRDefault="008144C2" w:rsidP="008E5A63">
      <w:pPr>
        <w:rPr>
          <w:rFonts w:ascii="Arial" w:hAnsi="Arial" w:cs="Arial"/>
          <w:i/>
          <w:iCs/>
          <w:sz w:val="20"/>
          <w:szCs w:val="20"/>
        </w:rPr>
      </w:pP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lastRenderedPageBreak/>
        <w:t>Report methodology</w:t>
      </w:r>
    </w:p>
    <w:p w14:paraId="055AE942" w14:textId="2B7E7048" w:rsidR="00A95E5C" w:rsidRDefault="00A95E5C" w:rsidP="00A95E5C">
      <w:pPr>
        <w:rPr>
          <w:rFonts w:ascii="Arial" w:hAnsi="Arial" w:cs="Arial"/>
          <w:sz w:val="20"/>
          <w:szCs w:val="20"/>
        </w:rPr>
      </w:pPr>
      <w:r w:rsidRPr="009F659F">
        <w:rPr>
          <w:rFonts w:ascii="Arial" w:hAnsi="Arial" w:cs="Arial"/>
          <w:sz w:val="20"/>
          <w:szCs w:val="20"/>
        </w:rPr>
        <w:t xml:space="preserve">The data within the Lumina Intelligence UK </w:t>
      </w:r>
      <w:r w:rsidR="00E362CA">
        <w:rPr>
          <w:rFonts w:ascii="Arial" w:hAnsi="Arial" w:cs="Arial"/>
          <w:sz w:val="20"/>
          <w:szCs w:val="20"/>
        </w:rPr>
        <w:t>Foodservice Delivery</w:t>
      </w:r>
      <w:r w:rsidRPr="009F659F">
        <w:rPr>
          <w:rFonts w:ascii="Arial" w:hAnsi="Arial" w:cs="Arial"/>
          <w:sz w:val="20"/>
          <w:szCs w:val="20"/>
        </w:rPr>
        <w:t xml:space="preserve"> Market Report 202</w:t>
      </w:r>
      <w:r w:rsidR="0064548D">
        <w:rPr>
          <w:rFonts w:ascii="Arial" w:hAnsi="Arial" w:cs="Arial"/>
          <w:sz w:val="20"/>
          <w:szCs w:val="20"/>
        </w:rPr>
        <w:t>1</w:t>
      </w:r>
      <w:r w:rsidRPr="009F659F">
        <w:rPr>
          <w:rFonts w:ascii="Arial" w:hAnsi="Arial" w:cs="Arial"/>
          <w:sz w:val="20"/>
          <w:szCs w:val="20"/>
        </w:rPr>
        <w:t xml:space="preserve"> was collated using:</w:t>
      </w:r>
    </w:p>
    <w:p w14:paraId="16164A7F" w14:textId="386BB264" w:rsidR="00E362CA" w:rsidRPr="00E362CA" w:rsidRDefault="00E362CA" w:rsidP="00E362CA">
      <w:pPr>
        <w:pStyle w:val="ListParagraph"/>
        <w:numPr>
          <w:ilvl w:val="0"/>
          <w:numId w:val="10"/>
        </w:numPr>
        <w:rPr>
          <w:rFonts w:ascii="Arial" w:hAnsi="Arial" w:cs="Arial"/>
          <w:sz w:val="20"/>
          <w:szCs w:val="20"/>
        </w:rPr>
      </w:pPr>
      <w:r w:rsidRPr="00E362CA">
        <w:rPr>
          <w:rFonts w:ascii="Arial" w:hAnsi="Arial" w:cs="Arial"/>
          <w:sz w:val="20"/>
          <w:szCs w:val="20"/>
        </w:rPr>
        <w:t>Consumer eating out behaviour data based on 78,000 surveys across the year from Lumina Intelligence’s Eating &amp; Drinking Out Panel.</w:t>
      </w:r>
    </w:p>
    <w:p w14:paraId="7034BA9B" w14:textId="67862747" w:rsidR="00E362CA" w:rsidRPr="00E362CA" w:rsidRDefault="00E362CA" w:rsidP="00E362CA">
      <w:pPr>
        <w:pStyle w:val="ListParagraph"/>
        <w:numPr>
          <w:ilvl w:val="0"/>
          <w:numId w:val="10"/>
        </w:numPr>
        <w:rPr>
          <w:rFonts w:ascii="Arial" w:hAnsi="Arial" w:cs="Arial"/>
          <w:sz w:val="20"/>
          <w:szCs w:val="20"/>
        </w:rPr>
      </w:pPr>
      <w:r w:rsidRPr="00E362CA">
        <w:rPr>
          <w:rFonts w:ascii="Arial" w:hAnsi="Arial" w:cs="Arial"/>
          <w:sz w:val="20"/>
          <w:szCs w:val="20"/>
        </w:rPr>
        <w:t>Consumer awareness, usage and attitudes based on a bespoke survey (n=1000 nat rep)</w:t>
      </w:r>
    </w:p>
    <w:p w14:paraId="31E7CFA9" w14:textId="6BFE8AB4" w:rsidR="00E362CA" w:rsidRPr="00E362CA" w:rsidRDefault="00E362CA" w:rsidP="00E362CA">
      <w:pPr>
        <w:pStyle w:val="ListParagraph"/>
        <w:numPr>
          <w:ilvl w:val="0"/>
          <w:numId w:val="10"/>
        </w:numPr>
        <w:rPr>
          <w:rFonts w:ascii="Arial" w:hAnsi="Arial" w:cs="Arial"/>
          <w:sz w:val="20"/>
          <w:szCs w:val="20"/>
        </w:rPr>
      </w:pPr>
      <w:r w:rsidRPr="00E362CA">
        <w:rPr>
          <w:rFonts w:ascii="Arial" w:hAnsi="Arial" w:cs="Arial"/>
          <w:sz w:val="20"/>
          <w:szCs w:val="20"/>
        </w:rPr>
        <w:t>Analysis of leading delivery players from Lumina Intelligence Operator Data Index, which tracks the performance of 700+ leading operators</w:t>
      </w:r>
    </w:p>
    <w:p w14:paraId="69AB7297" w14:textId="6EEAB454" w:rsidR="00E362CA" w:rsidRPr="00E362CA" w:rsidRDefault="00E362CA" w:rsidP="00E362CA">
      <w:pPr>
        <w:pStyle w:val="ListParagraph"/>
        <w:numPr>
          <w:ilvl w:val="0"/>
          <w:numId w:val="10"/>
        </w:numPr>
        <w:rPr>
          <w:rFonts w:ascii="Arial" w:hAnsi="Arial" w:cs="Arial"/>
          <w:b/>
          <w:bCs/>
          <w:sz w:val="20"/>
          <w:szCs w:val="20"/>
        </w:rPr>
      </w:pPr>
      <w:r w:rsidRPr="00E362CA">
        <w:rPr>
          <w:rFonts w:ascii="Arial" w:hAnsi="Arial" w:cs="Arial"/>
          <w:sz w:val="20"/>
          <w:szCs w:val="20"/>
        </w:rPr>
        <w:t>Business Leaders perspectives from Lumina Intelligence Top of Mind business leaders survey and Hospitality Leaders Poll</w:t>
      </w:r>
      <w:r w:rsidR="00BC0036">
        <w:rPr>
          <w:rFonts w:ascii="Arial" w:hAnsi="Arial" w:cs="Arial"/>
          <w:sz w:val="20"/>
          <w:szCs w:val="20"/>
        </w:rPr>
        <w:t xml:space="preserve"> </w:t>
      </w:r>
    </w:p>
    <w:p w14:paraId="4CEA97D8" w14:textId="7158098E" w:rsidR="00ED3ABD" w:rsidRPr="00E362CA" w:rsidRDefault="00ED3ABD" w:rsidP="00E362CA">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F13ECF"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5"/>
  </w:num>
  <w:num w:numId="5">
    <w:abstractNumId w:val="3"/>
  </w:num>
  <w:num w:numId="6">
    <w:abstractNumId w:val="6"/>
  </w:num>
  <w:num w:numId="7">
    <w:abstractNumId w:val="0"/>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F1972"/>
    <w:rsid w:val="00113451"/>
    <w:rsid w:val="00116246"/>
    <w:rsid w:val="001249C3"/>
    <w:rsid w:val="001B2875"/>
    <w:rsid w:val="001C257C"/>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32724"/>
    <w:rsid w:val="00363346"/>
    <w:rsid w:val="003C4BB2"/>
    <w:rsid w:val="003E204B"/>
    <w:rsid w:val="003E4324"/>
    <w:rsid w:val="003F621E"/>
    <w:rsid w:val="00407BDB"/>
    <w:rsid w:val="0044412F"/>
    <w:rsid w:val="00471332"/>
    <w:rsid w:val="00493A4C"/>
    <w:rsid w:val="004B3902"/>
    <w:rsid w:val="004D23F6"/>
    <w:rsid w:val="004E551E"/>
    <w:rsid w:val="004F1FF8"/>
    <w:rsid w:val="004F62D9"/>
    <w:rsid w:val="00511B5A"/>
    <w:rsid w:val="00550ADD"/>
    <w:rsid w:val="00550B08"/>
    <w:rsid w:val="0055150D"/>
    <w:rsid w:val="00553497"/>
    <w:rsid w:val="00566CAE"/>
    <w:rsid w:val="005A198F"/>
    <w:rsid w:val="005B7B3F"/>
    <w:rsid w:val="005C0F44"/>
    <w:rsid w:val="005E7052"/>
    <w:rsid w:val="00604B4A"/>
    <w:rsid w:val="0064548D"/>
    <w:rsid w:val="0064772D"/>
    <w:rsid w:val="00654AE2"/>
    <w:rsid w:val="00664850"/>
    <w:rsid w:val="006B7F83"/>
    <w:rsid w:val="006D1829"/>
    <w:rsid w:val="006E735F"/>
    <w:rsid w:val="006E79FF"/>
    <w:rsid w:val="00720ABB"/>
    <w:rsid w:val="007221DF"/>
    <w:rsid w:val="007229E3"/>
    <w:rsid w:val="007446FD"/>
    <w:rsid w:val="00755025"/>
    <w:rsid w:val="0076037A"/>
    <w:rsid w:val="007716CF"/>
    <w:rsid w:val="007B4F7A"/>
    <w:rsid w:val="007F3C85"/>
    <w:rsid w:val="008144C2"/>
    <w:rsid w:val="008249B4"/>
    <w:rsid w:val="008276B8"/>
    <w:rsid w:val="00846DDB"/>
    <w:rsid w:val="00862CCB"/>
    <w:rsid w:val="008852CE"/>
    <w:rsid w:val="008A46AD"/>
    <w:rsid w:val="008D4655"/>
    <w:rsid w:val="008E317A"/>
    <w:rsid w:val="008E5A63"/>
    <w:rsid w:val="00906A89"/>
    <w:rsid w:val="0094762B"/>
    <w:rsid w:val="00976FE8"/>
    <w:rsid w:val="009A17EF"/>
    <w:rsid w:val="009A6775"/>
    <w:rsid w:val="009C613A"/>
    <w:rsid w:val="009D1543"/>
    <w:rsid w:val="009D7AE0"/>
    <w:rsid w:val="00A131B6"/>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E6B8A"/>
    <w:rsid w:val="00D25202"/>
    <w:rsid w:val="00D30793"/>
    <w:rsid w:val="00D308D1"/>
    <w:rsid w:val="00D36AF3"/>
    <w:rsid w:val="00D81C35"/>
    <w:rsid w:val="00DA3FA1"/>
    <w:rsid w:val="00DB2AFC"/>
    <w:rsid w:val="00E214AC"/>
    <w:rsid w:val="00E362CA"/>
    <w:rsid w:val="00E56A95"/>
    <w:rsid w:val="00E6199F"/>
    <w:rsid w:val="00E72427"/>
    <w:rsid w:val="00E734FF"/>
    <w:rsid w:val="00EA1B39"/>
    <w:rsid w:val="00EC455C"/>
    <w:rsid w:val="00ED0369"/>
    <w:rsid w:val="00ED2C5E"/>
    <w:rsid w:val="00ED3ABD"/>
    <w:rsid w:val="00EE59D7"/>
    <w:rsid w:val="00F13ECF"/>
    <w:rsid w:val="00F16921"/>
    <w:rsid w:val="00F30CBB"/>
    <w:rsid w:val="00F43C71"/>
    <w:rsid w:val="00FB7D7E"/>
    <w:rsid w:val="00FC1A9F"/>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table" w:styleId="TableGrid">
    <w:name w:val="Table Grid"/>
    <w:basedOn w:val="TableNormal"/>
    <w:uiPriority w:val="39"/>
    <w:rsid w:val="0055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2021-12-17T13:49:00Z</dcterms:created>
  <dcterms:modified xsi:type="dcterms:W3CDTF">2021-12-17T15:47:00Z</dcterms:modified>
</cp:coreProperties>
</file>