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CC7822" w14:textId="19B7A20F" w:rsidR="00ED3ABD" w:rsidRPr="00550B08" w:rsidRDefault="007221DF" w:rsidP="00ED3ABD">
      <w:pPr>
        <w:rPr>
          <w:rFonts w:ascii="Arial" w:hAnsi="Arial" w:cs="Arial"/>
          <w:b/>
          <w:bCs/>
          <w:color w:val="505050"/>
          <w:sz w:val="18"/>
          <w:szCs w:val="18"/>
        </w:rPr>
      </w:pPr>
      <w:r w:rsidRPr="00550B08">
        <w:rPr>
          <w:rFonts w:ascii="Arial" w:hAnsi="Arial" w:cs="Arial"/>
          <w:b/>
          <w:bCs/>
          <w:noProof/>
          <w:color w:val="505050"/>
          <w:sz w:val="18"/>
          <w:szCs w:val="18"/>
        </w:rPr>
        <w:drawing>
          <wp:anchor distT="0" distB="0" distL="114300" distR="114300" simplePos="0" relativeHeight="251658240" behindDoc="1" locked="0" layoutInCell="1" allowOverlap="1" wp14:anchorId="49377F67" wp14:editId="34D0D744">
            <wp:simplePos x="0" y="0"/>
            <wp:positionH relativeFrom="margin">
              <wp:align>right</wp:align>
            </wp:positionH>
            <wp:positionV relativeFrom="paragraph">
              <wp:posOffset>6888</wp:posOffset>
            </wp:positionV>
            <wp:extent cx="1398270" cy="626110"/>
            <wp:effectExtent l="0" t="0" r="0" b="2540"/>
            <wp:wrapTight wrapText="bothSides">
              <wp:wrapPolygon edited="0">
                <wp:start x="0" y="0"/>
                <wp:lineTo x="0" y="21030"/>
                <wp:lineTo x="6768" y="21030"/>
                <wp:lineTo x="9123" y="21030"/>
                <wp:lineTo x="21188" y="21030"/>
                <wp:lineTo x="21188" y="2629"/>
                <wp:lineTo x="14125" y="0"/>
                <wp:lineTo x="0" y="0"/>
              </wp:wrapPolygon>
            </wp:wrapTight>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umina Logo Black @1.5x.png"/>
                    <pic:cNvPicPr/>
                  </pic:nvPicPr>
                  <pic:blipFill>
                    <a:blip r:embed="rId5">
                      <a:extLst>
                        <a:ext uri="{28A0092B-C50C-407E-A947-70E740481C1C}">
                          <a14:useLocalDpi xmlns:a14="http://schemas.microsoft.com/office/drawing/2010/main" val="0"/>
                        </a:ext>
                      </a:extLst>
                    </a:blip>
                    <a:stretch>
                      <a:fillRect/>
                    </a:stretch>
                  </pic:blipFill>
                  <pic:spPr>
                    <a:xfrm>
                      <a:off x="0" y="0"/>
                      <a:ext cx="1398270" cy="626110"/>
                    </a:xfrm>
                    <a:prstGeom prst="rect">
                      <a:avLst/>
                    </a:prstGeom>
                  </pic:spPr>
                </pic:pic>
              </a:graphicData>
            </a:graphic>
            <wp14:sizeRelH relativeFrom="margin">
              <wp14:pctWidth>0</wp14:pctWidth>
            </wp14:sizeRelH>
            <wp14:sizeRelV relativeFrom="margin">
              <wp14:pctHeight>0</wp14:pctHeight>
            </wp14:sizeRelV>
          </wp:anchor>
        </w:drawing>
      </w:r>
      <w:r w:rsidR="00ED3ABD" w:rsidRPr="00550B08">
        <w:rPr>
          <w:rFonts w:ascii="Arial" w:hAnsi="Arial" w:cs="Arial"/>
          <w:b/>
          <w:bCs/>
          <w:color w:val="505050"/>
          <w:sz w:val="18"/>
          <w:szCs w:val="18"/>
        </w:rPr>
        <w:t>CONTACT INFORMATION:</w:t>
      </w:r>
    </w:p>
    <w:p w14:paraId="0532A99E" w14:textId="63178E36"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Lumina Intelligence</w:t>
      </w:r>
    </w:p>
    <w:p w14:paraId="32951546" w14:textId="0A8BAE7A"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Giorgio Rigali</w:t>
      </w:r>
    </w:p>
    <w:p w14:paraId="553A8214" w14:textId="18EC8804"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07545990030</w:t>
      </w:r>
    </w:p>
    <w:p w14:paraId="452AC616" w14:textId="35EB428C" w:rsidR="00ED3ABD" w:rsidRPr="00550B08" w:rsidRDefault="00912D00" w:rsidP="00ED3ABD">
      <w:pPr>
        <w:spacing w:after="0" w:line="240" w:lineRule="auto"/>
        <w:rPr>
          <w:rStyle w:val="Hyperlink"/>
          <w:rFonts w:ascii="Arial" w:hAnsi="Arial" w:cs="Arial"/>
          <w:color w:val="505050"/>
          <w:sz w:val="18"/>
          <w:szCs w:val="18"/>
        </w:rPr>
      </w:pPr>
      <w:hyperlink r:id="rId6" w:history="1">
        <w:r w:rsidR="00ED3ABD" w:rsidRPr="00550B08">
          <w:rPr>
            <w:rStyle w:val="Hyperlink"/>
            <w:rFonts w:ascii="Arial" w:hAnsi="Arial" w:cs="Arial"/>
            <w:b/>
            <w:bCs/>
            <w:color w:val="505050"/>
            <w:sz w:val="18"/>
            <w:szCs w:val="18"/>
          </w:rPr>
          <w:t>Giorgio.rigali@lumina-intelligence.co.uk</w:t>
        </w:r>
      </w:hyperlink>
    </w:p>
    <w:p w14:paraId="1D64BCA5" w14:textId="3CA5B9DE" w:rsidR="003C4BB2" w:rsidRPr="00550B08" w:rsidRDefault="003C4BB2" w:rsidP="00ED3ABD">
      <w:pPr>
        <w:spacing w:after="0" w:line="240" w:lineRule="auto"/>
        <w:rPr>
          <w:rStyle w:val="Hyperlink"/>
          <w:rFonts w:ascii="Arial" w:hAnsi="Arial" w:cs="Arial"/>
          <w:color w:val="505050"/>
          <w:sz w:val="18"/>
          <w:szCs w:val="18"/>
        </w:rPr>
      </w:pPr>
    </w:p>
    <w:p w14:paraId="21BA4789" w14:textId="16EB529C" w:rsidR="00ED3ABD" w:rsidRPr="00550B08" w:rsidRDefault="00842379" w:rsidP="003C4BB2">
      <w:pPr>
        <w:spacing w:after="0" w:line="240" w:lineRule="auto"/>
        <w:rPr>
          <w:rStyle w:val="Hyperlink"/>
          <w:rFonts w:ascii="Arial" w:hAnsi="Arial" w:cs="Arial"/>
          <w:b/>
          <w:bCs/>
          <w:color w:val="505050"/>
          <w:sz w:val="18"/>
          <w:szCs w:val="18"/>
          <w:u w:val="none"/>
        </w:rPr>
      </w:pPr>
      <w:r>
        <w:rPr>
          <w:rStyle w:val="Hyperlink"/>
          <w:rFonts w:ascii="Arial" w:hAnsi="Arial" w:cs="Arial"/>
          <w:b/>
          <w:bCs/>
          <w:color w:val="505050"/>
          <w:sz w:val="18"/>
          <w:szCs w:val="18"/>
          <w:u w:val="none"/>
        </w:rPr>
        <w:t xml:space="preserve">21 December </w:t>
      </w:r>
      <w:r w:rsidR="003C4BB2" w:rsidRPr="00550B08">
        <w:rPr>
          <w:rStyle w:val="Hyperlink"/>
          <w:rFonts w:ascii="Arial" w:hAnsi="Arial" w:cs="Arial"/>
          <w:b/>
          <w:bCs/>
          <w:color w:val="505050"/>
          <w:sz w:val="18"/>
          <w:szCs w:val="18"/>
          <w:u w:val="none"/>
        </w:rPr>
        <w:t>202</w:t>
      </w:r>
      <w:r w:rsidR="00D36AF3">
        <w:rPr>
          <w:rStyle w:val="Hyperlink"/>
          <w:rFonts w:ascii="Arial" w:hAnsi="Arial" w:cs="Arial"/>
          <w:b/>
          <w:bCs/>
          <w:color w:val="505050"/>
          <w:sz w:val="18"/>
          <w:szCs w:val="18"/>
          <w:u w:val="none"/>
        </w:rPr>
        <w:t>1</w:t>
      </w:r>
    </w:p>
    <w:p w14:paraId="04302EA3" w14:textId="77777777" w:rsidR="0055150D" w:rsidRDefault="0055150D" w:rsidP="00C545F0">
      <w:pPr>
        <w:jc w:val="center"/>
        <w:rPr>
          <w:rFonts w:ascii="Arial" w:hAnsi="Arial" w:cs="Arial"/>
          <w:b/>
          <w:bCs/>
          <w:sz w:val="32"/>
          <w:szCs w:val="32"/>
        </w:rPr>
      </w:pPr>
    </w:p>
    <w:p w14:paraId="783BBDBC" w14:textId="61066566" w:rsidR="00996632" w:rsidRDefault="00996632" w:rsidP="00996632">
      <w:pPr>
        <w:jc w:val="center"/>
        <w:rPr>
          <w:rFonts w:ascii="Arial" w:hAnsi="Arial" w:cs="Arial"/>
          <w:b/>
          <w:bCs/>
          <w:sz w:val="32"/>
          <w:szCs w:val="32"/>
        </w:rPr>
      </w:pPr>
      <w:r w:rsidRPr="00996632">
        <w:rPr>
          <w:rFonts w:ascii="Arial" w:hAnsi="Arial" w:cs="Arial"/>
          <w:b/>
          <w:bCs/>
          <w:sz w:val="32"/>
          <w:szCs w:val="32"/>
        </w:rPr>
        <w:t>Gregg’s is the dominating brand in</w:t>
      </w:r>
      <w:r>
        <w:rPr>
          <w:rFonts w:ascii="Arial" w:hAnsi="Arial" w:cs="Arial"/>
          <w:b/>
          <w:bCs/>
          <w:sz w:val="32"/>
          <w:szCs w:val="32"/>
        </w:rPr>
        <w:t xml:space="preserve"> </w:t>
      </w:r>
      <w:r w:rsidRPr="00996632">
        <w:rPr>
          <w:rFonts w:ascii="Arial" w:hAnsi="Arial" w:cs="Arial"/>
          <w:b/>
          <w:bCs/>
          <w:sz w:val="32"/>
          <w:szCs w:val="32"/>
        </w:rPr>
        <w:t xml:space="preserve">food to go, </w:t>
      </w:r>
      <w:r w:rsidR="00E76528">
        <w:rPr>
          <w:rFonts w:ascii="Arial" w:hAnsi="Arial" w:cs="Arial"/>
          <w:b/>
          <w:bCs/>
          <w:sz w:val="32"/>
          <w:szCs w:val="32"/>
        </w:rPr>
        <w:t>accounting for one-in-ten occasions</w:t>
      </w:r>
    </w:p>
    <w:p w14:paraId="607C1DB5" w14:textId="77777777" w:rsidR="00996632" w:rsidRDefault="00996632" w:rsidP="00996632">
      <w:pPr>
        <w:jc w:val="center"/>
        <w:rPr>
          <w:rFonts w:ascii="Arial" w:hAnsi="Arial" w:cs="Arial"/>
          <w:b/>
          <w:bCs/>
          <w:sz w:val="32"/>
          <w:szCs w:val="32"/>
        </w:rPr>
      </w:pPr>
    </w:p>
    <w:p w14:paraId="6275F918" w14:textId="6B141812" w:rsidR="001B60D3" w:rsidRDefault="007446FD" w:rsidP="00996632">
      <w:pPr>
        <w:rPr>
          <w:rFonts w:ascii="Arial" w:hAnsi="Arial" w:cs="Arial"/>
          <w:sz w:val="20"/>
          <w:szCs w:val="20"/>
        </w:rPr>
      </w:pPr>
      <w:r w:rsidRPr="007446FD">
        <w:rPr>
          <w:rFonts w:ascii="Arial" w:hAnsi="Arial" w:cs="Arial"/>
          <w:sz w:val="20"/>
          <w:szCs w:val="20"/>
        </w:rPr>
        <w:t>According</w:t>
      </w:r>
      <w:r w:rsidR="0055150D">
        <w:rPr>
          <w:rFonts w:ascii="Arial" w:hAnsi="Arial" w:cs="Arial"/>
          <w:sz w:val="20"/>
          <w:szCs w:val="20"/>
        </w:rPr>
        <w:t xml:space="preserve"> to</w:t>
      </w:r>
      <w:r w:rsidRPr="007446FD">
        <w:rPr>
          <w:rFonts w:ascii="Arial" w:hAnsi="Arial" w:cs="Arial"/>
          <w:sz w:val="20"/>
          <w:szCs w:val="20"/>
        </w:rPr>
        <w:t xml:space="preserve"> </w:t>
      </w:r>
      <w:r w:rsidR="00DB2AFC">
        <w:rPr>
          <w:rFonts w:ascii="Arial" w:hAnsi="Arial" w:cs="Arial"/>
          <w:sz w:val="20"/>
          <w:szCs w:val="20"/>
        </w:rPr>
        <w:t xml:space="preserve">the </w:t>
      </w:r>
      <w:r w:rsidR="00E76528">
        <w:rPr>
          <w:rFonts w:ascii="Arial" w:hAnsi="Arial" w:cs="Arial"/>
          <w:sz w:val="20"/>
          <w:szCs w:val="20"/>
        </w:rPr>
        <w:t>latest update to the</w:t>
      </w:r>
      <w:r w:rsidR="00DB2AFC">
        <w:rPr>
          <w:rFonts w:ascii="Arial" w:hAnsi="Arial" w:cs="Arial"/>
          <w:sz w:val="20"/>
          <w:szCs w:val="20"/>
        </w:rPr>
        <w:t xml:space="preserve"> Lumina Intelligence UK Food </w:t>
      </w:r>
      <w:proofErr w:type="gramStart"/>
      <w:r w:rsidR="00DB2AFC">
        <w:rPr>
          <w:rFonts w:ascii="Arial" w:hAnsi="Arial" w:cs="Arial"/>
          <w:sz w:val="20"/>
          <w:szCs w:val="20"/>
        </w:rPr>
        <w:t>To</w:t>
      </w:r>
      <w:proofErr w:type="gramEnd"/>
      <w:r w:rsidR="00DB2AFC">
        <w:rPr>
          <w:rFonts w:ascii="Arial" w:hAnsi="Arial" w:cs="Arial"/>
          <w:sz w:val="20"/>
          <w:szCs w:val="20"/>
        </w:rPr>
        <w:t xml:space="preserve"> Go Market Report 202</w:t>
      </w:r>
      <w:r w:rsidR="00D36AF3">
        <w:rPr>
          <w:rFonts w:ascii="Arial" w:hAnsi="Arial" w:cs="Arial"/>
          <w:sz w:val="20"/>
          <w:szCs w:val="20"/>
        </w:rPr>
        <w:t xml:space="preserve">1, </w:t>
      </w:r>
      <w:r w:rsidR="00E76528" w:rsidRPr="00E76528">
        <w:rPr>
          <w:rFonts w:ascii="Arial" w:hAnsi="Arial" w:cs="Arial"/>
          <w:sz w:val="20"/>
          <w:szCs w:val="20"/>
        </w:rPr>
        <w:t xml:space="preserve">Gregg’s is the dominating brand in food to go with </w:t>
      </w:r>
      <w:r w:rsidR="00E76528">
        <w:rPr>
          <w:rFonts w:ascii="Arial" w:hAnsi="Arial" w:cs="Arial"/>
          <w:sz w:val="20"/>
          <w:szCs w:val="20"/>
        </w:rPr>
        <w:t xml:space="preserve">a </w:t>
      </w:r>
      <w:r w:rsidR="00E76528" w:rsidRPr="00E76528">
        <w:rPr>
          <w:rFonts w:ascii="Arial" w:hAnsi="Arial" w:cs="Arial"/>
          <w:sz w:val="20"/>
          <w:szCs w:val="20"/>
        </w:rPr>
        <w:t>10.7% share of occasions.</w:t>
      </w:r>
      <w:r w:rsidR="00127C3A">
        <w:rPr>
          <w:rFonts w:ascii="Arial" w:hAnsi="Arial" w:cs="Arial"/>
          <w:sz w:val="20"/>
          <w:szCs w:val="20"/>
        </w:rPr>
        <w:t xml:space="preserve"> </w:t>
      </w:r>
      <w:r w:rsidR="00127C3A" w:rsidRPr="00127C3A">
        <w:rPr>
          <w:rFonts w:ascii="Arial" w:hAnsi="Arial" w:cs="Arial"/>
          <w:sz w:val="20"/>
          <w:szCs w:val="20"/>
        </w:rPr>
        <w:t>Greggs has overtaken McDonald’s to become the dominant player in the food to go sector, increasing its share of occasions by 1.3ppts in the 12 weeks to 28 November 202</w:t>
      </w:r>
      <w:r w:rsidR="001B60D3">
        <w:rPr>
          <w:rFonts w:ascii="Arial" w:hAnsi="Arial" w:cs="Arial"/>
          <w:sz w:val="20"/>
          <w:szCs w:val="20"/>
        </w:rPr>
        <w:t>1.</w:t>
      </w:r>
    </w:p>
    <w:p w14:paraId="61794250" w14:textId="13F0339D" w:rsidR="001B60D3" w:rsidRDefault="001B60D3" w:rsidP="001B60D3">
      <w:pPr>
        <w:rPr>
          <w:rFonts w:ascii="Arial" w:hAnsi="Arial" w:cs="Arial"/>
          <w:sz w:val="20"/>
          <w:szCs w:val="20"/>
        </w:rPr>
      </w:pPr>
      <w:r>
        <w:rPr>
          <w:rFonts w:ascii="Arial" w:hAnsi="Arial" w:cs="Arial"/>
          <w:sz w:val="20"/>
          <w:szCs w:val="20"/>
        </w:rPr>
        <w:t>The growth experience</w:t>
      </w:r>
      <w:r w:rsidR="00B17B21">
        <w:rPr>
          <w:rFonts w:ascii="Arial" w:hAnsi="Arial" w:cs="Arial"/>
          <w:sz w:val="20"/>
          <w:szCs w:val="20"/>
        </w:rPr>
        <w:t>d</w:t>
      </w:r>
      <w:r>
        <w:rPr>
          <w:rFonts w:ascii="Arial" w:hAnsi="Arial" w:cs="Arial"/>
          <w:sz w:val="20"/>
          <w:szCs w:val="20"/>
        </w:rPr>
        <w:t xml:space="preserve"> by Gregg’s is</w:t>
      </w:r>
      <w:r w:rsidRPr="001B60D3">
        <w:rPr>
          <w:rFonts w:ascii="Arial" w:hAnsi="Arial" w:cs="Arial"/>
          <w:sz w:val="20"/>
          <w:szCs w:val="20"/>
        </w:rPr>
        <w:t xml:space="preserve"> reflected in sausage rolls</w:t>
      </w:r>
      <w:r w:rsidR="00B17B21">
        <w:rPr>
          <w:rFonts w:ascii="Arial" w:hAnsi="Arial" w:cs="Arial"/>
          <w:sz w:val="20"/>
          <w:szCs w:val="20"/>
        </w:rPr>
        <w:t>,</w:t>
      </w:r>
      <w:r>
        <w:rPr>
          <w:rFonts w:ascii="Arial" w:hAnsi="Arial" w:cs="Arial"/>
          <w:sz w:val="20"/>
          <w:szCs w:val="20"/>
        </w:rPr>
        <w:t xml:space="preserve"> </w:t>
      </w:r>
      <w:r w:rsidRPr="001B60D3">
        <w:rPr>
          <w:rFonts w:ascii="Arial" w:hAnsi="Arial" w:cs="Arial"/>
          <w:sz w:val="20"/>
          <w:szCs w:val="20"/>
        </w:rPr>
        <w:t xml:space="preserve">holding a 5% share of </w:t>
      </w:r>
      <w:r>
        <w:rPr>
          <w:rFonts w:ascii="Arial" w:hAnsi="Arial" w:cs="Arial"/>
          <w:sz w:val="20"/>
          <w:szCs w:val="20"/>
        </w:rPr>
        <w:t xml:space="preserve">total food to go </w:t>
      </w:r>
      <w:r w:rsidRPr="001B60D3">
        <w:rPr>
          <w:rFonts w:ascii="Arial" w:hAnsi="Arial" w:cs="Arial"/>
          <w:sz w:val="20"/>
          <w:szCs w:val="20"/>
        </w:rPr>
        <w:t>food items</w:t>
      </w:r>
      <w:r>
        <w:rPr>
          <w:rFonts w:ascii="Arial" w:hAnsi="Arial" w:cs="Arial"/>
          <w:sz w:val="20"/>
          <w:szCs w:val="20"/>
        </w:rPr>
        <w:t xml:space="preserve"> purchased</w:t>
      </w:r>
      <w:r w:rsidRPr="001B60D3">
        <w:rPr>
          <w:rFonts w:ascii="Arial" w:hAnsi="Arial" w:cs="Arial"/>
          <w:sz w:val="20"/>
          <w:szCs w:val="20"/>
        </w:rPr>
        <w:t>.</w:t>
      </w:r>
      <w:r>
        <w:rPr>
          <w:rFonts w:ascii="Arial" w:hAnsi="Arial" w:cs="Arial"/>
          <w:sz w:val="20"/>
          <w:szCs w:val="20"/>
        </w:rPr>
        <w:t xml:space="preserve"> </w:t>
      </w:r>
      <w:r w:rsidR="00B17B21">
        <w:rPr>
          <w:rFonts w:ascii="Arial" w:hAnsi="Arial" w:cs="Arial"/>
          <w:sz w:val="20"/>
          <w:szCs w:val="20"/>
        </w:rPr>
        <w:t>However,</w:t>
      </w:r>
      <w:r>
        <w:rPr>
          <w:rFonts w:ascii="Arial" w:hAnsi="Arial" w:cs="Arial"/>
          <w:sz w:val="20"/>
          <w:szCs w:val="20"/>
        </w:rPr>
        <w:t xml:space="preserve"> </w:t>
      </w:r>
      <w:r w:rsidRPr="001B60D3">
        <w:rPr>
          <w:rFonts w:ascii="Arial" w:hAnsi="Arial" w:cs="Arial"/>
          <w:sz w:val="20"/>
          <w:szCs w:val="20"/>
        </w:rPr>
        <w:t xml:space="preserve">burgers </w:t>
      </w:r>
      <w:r w:rsidR="00B17B21">
        <w:rPr>
          <w:rFonts w:ascii="Arial" w:hAnsi="Arial" w:cs="Arial"/>
          <w:sz w:val="20"/>
          <w:szCs w:val="20"/>
        </w:rPr>
        <w:t xml:space="preserve">still </w:t>
      </w:r>
      <w:r>
        <w:rPr>
          <w:rFonts w:ascii="Arial" w:hAnsi="Arial" w:cs="Arial"/>
          <w:sz w:val="20"/>
          <w:szCs w:val="20"/>
        </w:rPr>
        <w:t>had the</w:t>
      </w:r>
      <w:r w:rsidRPr="001B60D3">
        <w:rPr>
          <w:rFonts w:ascii="Arial" w:hAnsi="Arial" w:cs="Arial"/>
          <w:sz w:val="20"/>
          <w:szCs w:val="20"/>
        </w:rPr>
        <w:t xml:space="preserve"> highest</w:t>
      </w:r>
      <w:r>
        <w:rPr>
          <w:rFonts w:ascii="Arial" w:hAnsi="Arial" w:cs="Arial"/>
          <w:sz w:val="20"/>
          <w:szCs w:val="20"/>
        </w:rPr>
        <w:t xml:space="preserve"> share</w:t>
      </w:r>
      <w:r w:rsidRPr="001B60D3">
        <w:rPr>
          <w:rFonts w:ascii="Arial" w:hAnsi="Arial" w:cs="Arial"/>
          <w:sz w:val="20"/>
          <w:szCs w:val="20"/>
        </w:rPr>
        <w:t xml:space="preserve"> with 19.2%</w:t>
      </w:r>
      <w:r>
        <w:rPr>
          <w:rFonts w:ascii="Arial" w:hAnsi="Arial" w:cs="Arial"/>
          <w:sz w:val="20"/>
          <w:szCs w:val="20"/>
        </w:rPr>
        <w:t>, followed by</w:t>
      </w:r>
      <w:r w:rsidRPr="001B60D3">
        <w:rPr>
          <w:rFonts w:ascii="Arial" w:hAnsi="Arial" w:cs="Arial"/>
          <w:sz w:val="20"/>
          <w:szCs w:val="20"/>
        </w:rPr>
        <w:t xml:space="preserve"> sandwiches </w:t>
      </w:r>
      <w:r>
        <w:rPr>
          <w:rFonts w:ascii="Arial" w:hAnsi="Arial" w:cs="Arial"/>
          <w:sz w:val="20"/>
          <w:szCs w:val="20"/>
        </w:rPr>
        <w:t xml:space="preserve">with </w:t>
      </w:r>
      <w:r w:rsidRPr="001B60D3">
        <w:rPr>
          <w:rFonts w:ascii="Arial" w:hAnsi="Arial" w:cs="Arial"/>
          <w:sz w:val="20"/>
          <w:szCs w:val="20"/>
        </w:rPr>
        <w:t>11.3%</w:t>
      </w:r>
      <w:r>
        <w:rPr>
          <w:rFonts w:ascii="Arial" w:hAnsi="Arial" w:cs="Arial"/>
          <w:sz w:val="20"/>
          <w:szCs w:val="20"/>
        </w:rPr>
        <w:t>.</w:t>
      </w:r>
    </w:p>
    <w:p w14:paraId="55FA0B91" w14:textId="63C83D61" w:rsidR="001B60D3" w:rsidRDefault="001B60D3" w:rsidP="00391748">
      <w:pPr>
        <w:rPr>
          <w:rFonts w:ascii="Arial" w:hAnsi="Arial" w:cs="Arial"/>
          <w:sz w:val="20"/>
          <w:szCs w:val="20"/>
        </w:rPr>
      </w:pPr>
      <w:r w:rsidRPr="001B60D3">
        <w:rPr>
          <w:rFonts w:ascii="Arial" w:hAnsi="Arial" w:cs="Arial"/>
          <w:sz w:val="20"/>
          <w:szCs w:val="20"/>
        </w:rPr>
        <w:t>The return of people to work and schools in September helped to boost overall food to go sales, with 27% of visits to foodservice operators for food to go missions over the 12-week period.</w:t>
      </w:r>
      <w:r w:rsidR="00391748" w:rsidRPr="00391748">
        <w:rPr>
          <w:rFonts w:ascii="Arial" w:hAnsi="Arial" w:cs="Arial"/>
          <w:sz w:val="20"/>
          <w:szCs w:val="20"/>
        </w:rPr>
        <w:t xml:space="preserve"> Travelling or</w:t>
      </w:r>
      <w:r w:rsidR="00391748">
        <w:rPr>
          <w:rFonts w:ascii="Arial" w:hAnsi="Arial" w:cs="Arial"/>
          <w:sz w:val="20"/>
          <w:szCs w:val="20"/>
        </w:rPr>
        <w:t xml:space="preserve"> </w:t>
      </w:r>
      <w:r w:rsidR="00391748" w:rsidRPr="00391748">
        <w:rPr>
          <w:rFonts w:ascii="Arial" w:hAnsi="Arial" w:cs="Arial"/>
          <w:sz w:val="20"/>
          <w:szCs w:val="20"/>
        </w:rPr>
        <w:t>commuting increased as a reason for a</w:t>
      </w:r>
      <w:r w:rsidR="00391748">
        <w:rPr>
          <w:rFonts w:ascii="Arial" w:hAnsi="Arial" w:cs="Arial"/>
          <w:sz w:val="20"/>
          <w:szCs w:val="20"/>
        </w:rPr>
        <w:t xml:space="preserve"> </w:t>
      </w:r>
      <w:r w:rsidR="00391748" w:rsidRPr="00391748">
        <w:rPr>
          <w:rFonts w:ascii="Arial" w:hAnsi="Arial" w:cs="Arial"/>
          <w:sz w:val="20"/>
          <w:szCs w:val="20"/>
        </w:rPr>
        <w:t>FTG occasion by +2ppts</w:t>
      </w:r>
      <w:r w:rsidR="00B17B21" w:rsidRPr="00B17B21">
        <w:rPr>
          <w:rFonts w:ascii="Arial" w:hAnsi="Arial" w:cs="Arial"/>
          <w:sz w:val="20"/>
          <w:szCs w:val="20"/>
        </w:rPr>
        <w:t xml:space="preserve"> </w:t>
      </w:r>
      <w:r w:rsidR="00B17B21" w:rsidRPr="00391748">
        <w:rPr>
          <w:rFonts w:ascii="Arial" w:hAnsi="Arial" w:cs="Arial"/>
          <w:sz w:val="20"/>
          <w:szCs w:val="20"/>
        </w:rPr>
        <w:t xml:space="preserve">in the </w:t>
      </w:r>
      <w:r w:rsidR="00B17B21">
        <w:rPr>
          <w:rFonts w:ascii="Arial" w:hAnsi="Arial" w:cs="Arial"/>
          <w:sz w:val="20"/>
          <w:szCs w:val="20"/>
        </w:rPr>
        <w:t xml:space="preserve">same </w:t>
      </w:r>
      <w:r w:rsidR="00B17B21" w:rsidRPr="00391748">
        <w:rPr>
          <w:rFonts w:ascii="Arial" w:hAnsi="Arial" w:cs="Arial"/>
          <w:sz w:val="20"/>
          <w:szCs w:val="20"/>
        </w:rPr>
        <w:t>period</w:t>
      </w:r>
      <w:r w:rsidR="00391748" w:rsidRPr="00391748">
        <w:rPr>
          <w:rFonts w:ascii="Arial" w:hAnsi="Arial" w:cs="Arial"/>
          <w:sz w:val="20"/>
          <w:szCs w:val="20"/>
        </w:rPr>
        <w:t>.</w:t>
      </w:r>
    </w:p>
    <w:p w14:paraId="24BD47E9" w14:textId="13E797C5" w:rsidR="001B60D3" w:rsidRDefault="001B60D3" w:rsidP="001B60D3">
      <w:pPr>
        <w:rPr>
          <w:rFonts w:ascii="Arial" w:hAnsi="Arial" w:cs="Arial"/>
          <w:sz w:val="20"/>
          <w:szCs w:val="20"/>
        </w:rPr>
      </w:pPr>
      <w:r w:rsidRPr="001B60D3">
        <w:rPr>
          <w:rFonts w:ascii="Arial" w:hAnsi="Arial" w:cs="Arial"/>
          <w:sz w:val="20"/>
          <w:szCs w:val="20"/>
        </w:rPr>
        <w:t>Coffee shops and cafes maintain</w:t>
      </w:r>
      <w:r w:rsidR="00B17B21">
        <w:rPr>
          <w:rFonts w:ascii="Arial" w:hAnsi="Arial" w:cs="Arial"/>
          <w:sz w:val="20"/>
          <w:szCs w:val="20"/>
        </w:rPr>
        <w:t>ed</w:t>
      </w:r>
      <w:r w:rsidRPr="001B60D3">
        <w:rPr>
          <w:rFonts w:ascii="Arial" w:hAnsi="Arial" w:cs="Arial"/>
          <w:sz w:val="20"/>
          <w:szCs w:val="20"/>
        </w:rPr>
        <w:t xml:space="preserve"> largest</w:t>
      </w:r>
      <w:r>
        <w:rPr>
          <w:rFonts w:ascii="Arial" w:hAnsi="Arial" w:cs="Arial"/>
          <w:sz w:val="20"/>
          <w:szCs w:val="20"/>
        </w:rPr>
        <w:t xml:space="preserve"> </w:t>
      </w:r>
      <w:r w:rsidRPr="001B60D3">
        <w:rPr>
          <w:rFonts w:ascii="Arial" w:hAnsi="Arial" w:cs="Arial"/>
          <w:sz w:val="20"/>
          <w:szCs w:val="20"/>
        </w:rPr>
        <w:t>share of FTG occasions, followed by</w:t>
      </w:r>
      <w:r>
        <w:rPr>
          <w:rFonts w:ascii="Arial" w:hAnsi="Arial" w:cs="Arial"/>
          <w:sz w:val="20"/>
          <w:szCs w:val="20"/>
        </w:rPr>
        <w:t xml:space="preserve"> </w:t>
      </w:r>
      <w:r w:rsidRPr="001B60D3">
        <w:rPr>
          <w:rFonts w:ascii="Arial" w:hAnsi="Arial" w:cs="Arial"/>
          <w:sz w:val="20"/>
          <w:szCs w:val="20"/>
        </w:rPr>
        <w:t>retail. This increased towards the end of</w:t>
      </w:r>
      <w:r>
        <w:rPr>
          <w:rFonts w:ascii="Arial" w:hAnsi="Arial" w:cs="Arial"/>
          <w:sz w:val="20"/>
          <w:szCs w:val="20"/>
        </w:rPr>
        <w:t xml:space="preserve"> </w:t>
      </w:r>
      <w:r w:rsidRPr="001B60D3">
        <w:rPr>
          <w:rFonts w:ascii="Arial" w:hAnsi="Arial" w:cs="Arial"/>
          <w:sz w:val="20"/>
          <w:szCs w:val="20"/>
        </w:rPr>
        <w:t>October and November with consumers</w:t>
      </w:r>
      <w:r>
        <w:rPr>
          <w:rFonts w:ascii="Arial" w:hAnsi="Arial" w:cs="Arial"/>
          <w:sz w:val="20"/>
          <w:szCs w:val="20"/>
        </w:rPr>
        <w:t xml:space="preserve"> </w:t>
      </w:r>
      <w:r w:rsidRPr="001B60D3">
        <w:rPr>
          <w:rFonts w:ascii="Arial" w:hAnsi="Arial" w:cs="Arial"/>
          <w:sz w:val="20"/>
          <w:szCs w:val="20"/>
        </w:rPr>
        <w:t>more likely to be out and about</w:t>
      </w:r>
      <w:r w:rsidR="00B17B21">
        <w:rPr>
          <w:rFonts w:ascii="Arial" w:hAnsi="Arial" w:cs="Arial"/>
          <w:sz w:val="20"/>
          <w:szCs w:val="20"/>
        </w:rPr>
        <w:t>,</w:t>
      </w:r>
      <w:r w:rsidRPr="001B60D3">
        <w:rPr>
          <w:rFonts w:ascii="Arial" w:hAnsi="Arial" w:cs="Arial"/>
          <w:sz w:val="20"/>
          <w:szCs w:val="20"/>
        </w:rPr>
        <w:t xml:space="preserve"> looking</w:t>
      </w:r>
      <w:r>
        <w:rPr>
          <w:rFonts w:ascii="Arial" w:hAnsi="Arial" w:cs="Arial"/>
          <w:sz w:val="20"/>
          <w:szCs w:val="20"/>
        </w:rPr>
        <w:t xml:space="preserve"> </w:t>
      </w:r>
      <w:r w:rsidRPr="001B60D3">
        <w:rPr>
          <w:rFonts w:ascii="Arial" w:hAnsi="Arial" w:cs="Arial"/>
          <w:sz w:val="20"/>
          <w:szCs w:val="20"/>
        </w:rPr>
        <w:t xml:space="preserve">for a </w:t>
      </w:r>
      <w:r w:rsidR="00B17B21" w:rsidRPr="001B60D3">
        <w:rPr>
          <w:rFonts w:ascii="Arial" w:hAnsi="Arial" w:cs="Arial"/>
          <w:sz w:val="20"/>
          <w:szCs w:val="20"/>
        </w:rPr>
        <w:t>convenien</w:t>
      </w:r>
      <w:r w:rsidR="00B17B21">
        <w:rPr>
          <w:rFonts w:ascii="Arial" w:hAnsi="Arial" w:cs="Arial"/>
          <w:sz w:val="20"/>
          <w:szCs w:val="20"/>
        </w:rPr>
        <w:t>t</w:t>
      </w:r>
      <w:r w:rsidR="00B17B21" w:rsidRPr="001B60D3">
        <w:rPr>
          <w:rFonts w:ascii="Arial" w:hAnsi="Arial" w:cs="Arial"/>
          <w:sz w:val="20"/>
          <w:szCs w:val="20"/>
        </w:rPr>
        <w:t xml:space="preserve"> </w:t>
      </w:r>
      <w:r w:rsidRPr="001B60D3">
        <w:rPr>
          <w:rFonts w:ascii="Arial" w:hAnsi="Arial" w:cs="Arial"/>
          <w:sz w:val="20"/>
          <w:szCs w:val="20"/>
        </w:rPr>
        <w:t>solution, with</w:t>
      </w:r>
      <w:r>
        <w:rPr>
          <w:rFonts w:ascii="Arial" w:hAnsi="Arial" w:cs="Arial"/>
          <w:sz w:val="20"/>
          <w:szCs w:val="20"/>
        </w:rPr>
        <w:t xml:space="preserve"> </w:t>
      </w:r>
      <w:r w:rsidRPr="001B60D3">
        <w:rPr>
          <w:rFonts w:ascii="Arial" w:hAnsi="Arial" w:cs="Arial"/>
          <w:sz w:val="20"/>
          <w:szCs w:val="20"/>
        </w:rPr>
        <w:t>proximity (37%) increasing as a reason</w:t>
      </w:r>
      <w:r>
        <w:rPr>
          <w:rFonts w:ascii="Arial" w:hAnsi="Arial" w:cs="Arial"/>
          <w:sz w:val="20"/>
          <w:szCs w:val="20"/>
        </w:rPr>
        <w:t xml:space="preserve"> </w:t>
      </w:r>
      <w:r w:rsidRPr="001B60D3">
        <w:rPr>
          <w:rFonts w:ascii="Arial" w:hAnsi="Arial" w:cs="Arial"/>
          <w:sz w:val="20"/>
          <w:szCs w:val="20"/>
        </w:rPr>
        <w:t>for choosing a venue (+1ppt).</w:t>
      </w:r>
      <w:r>
        <w:rPr>
          <w:rFonts w:ascii="Arial" w:hAnsi="Arial" w:cs="Arial"/>
          <w:sz w:val="20"/>
          <w:szCs w:val="20"/>
        </w:rPr>
        <w:t xml:space="preserve"> </w:t>
      </w:r>
    </w:p>
    <w:p w14:paraId="75FED5EF" w14:textId="4C62249D" w:rsidR="001B60D3" w:rsidRDefault="001B60D3" w:rsidP="001B60D3">
      <w:pPr>
        <w:rPr>
          <w:rFonts w:ascii="Arial" w:hAnsi="Arial" w:cs="Arial"/>
          <w:sz w:val="20"/>
          <w:szCs w:val="20"/>
        </w:rPr>
      </w:pPr>
      <w:r w:rsidRPr="001B60D3">
        <w:rPr>
          <w:rFonts w:ascii="Arial" w:hAnsi="Arial" w:cs="Arial"/>
          <w:sz w:val="20"/>
          <w:szCs w:val="20"/>
        </w:rPr>
        <w:t>Coffee and hot drinks also increased their share of drinks purchases</w:t>
      </w:r>
      <w:r>
        <w:rPr>
          <w:rFonts w:ascii="Arial" w:hAnsi="Arial" w:cs="Arial"/>
          <w:sz w:val="20"/>
          <w:szCs w:val="20"/>
        </w:rPr>
        <w:t xml:space="preserve">. </w:t>
      </w:r>
      <w:r w:rsidRPr="001B60D3">
        <w:rPr>
          <w:rFonts w:ascii="Arial" w:hAnsi="Arial" w:cs="Arial"/>
          <w:sz w:val="20"/>
          <w:szCs w:val="20"/>
        </w:rPr>
        <w:t>Coffee dominate</w:t>
      </w:r>
      <w:r>
        <w:rPr>
          <w:rFonts w:ascii="Arial" w:hAnsi="Arial" w:cs="Arial"/>
          <w:sz w:val="20"/>
          <w:szCs w:val="20"/>
        </w:rPr>
        <w:t>d</w:t>
      </w:r>
      <w:r w:rsidRPr="001B60D3">
        <w:rPr>
          <w:rFonts w:ascii="Arial" w:hAnsi="Arial" w:cs="Arial"/>
          <w:sz w:val="20"/>
          <w:szCs w:val="20"/>
        </w:rPr>
        <w:t xml:space="preserve"> drinks occasions,</w:t>
      </w:r>
      <w:r>
        <w:rPr>
          <w:rFonts w:ascii="Arial" w:hAnsi="Arial" w:cs="Arial"/>
          <w:sz w:val="20"/>
          <w:szCs w:val="20"/>
        </w:rPr>
        <w:t xml:space="preserve"> </w:t>
      </w:r>
      <w:r w:rsidRPr="001B60D3">
        <w:rPr>
          <w:rFonts w:ascii="Arial" w:hAnsi="Arial" w:cs="Arial"/>
          <w:sz w:val="20"/>
          <w:szCs w:val="20"/>
        </w:rPr>
        <w:t xml:space="preserve">accounting for over </w:t>
      </w:r>
      <w:r>
        <w:rPr>
          <w:rFonts w:ascii="Arial" w:hAnsi="Arial" w:cs="Arial"/>
          <w:sz w:val="20"/>
          <w:szCs w:val="20"/>
        </w:rPr>
        <w:t>two-</w:t>
      </w:r>
      <w:r w:rsidRPr="001B60D3">
        <w:rPr>
          <w:rFonts w:ascii="Arial" w:hAnsi="Arial" w:cs="Arial"/>
          <w:sz w:val="20"/>
          <w:szCs w:val="20"/>
        </w:rPr>
        <w:t>in</w:t>
      </w:r>
      <w:r>
        <w:rPr>
          <w:rFonts w:ascii="Arial" w:hAnsi="Arial" w:cs="Arial"/>
          <w:sz w:val="20"/>
          <w:szCs w:val="20"/>
        </w:rPr>
        <w:t>-five</w:t>
      </w:r>
      <w:r w:rsidRPr="001B60D3">
        <w:rPr>
          <w:rFonts w:ascii="Arial" w:hAnsi="Arial" w:cs="Arial"/>
          <w:sz w:val="20"/>
          <w:szCs w:val="20"/>
        </w:rPr>
        <w:t xml:space="preserve"> purchases</w:t>
      </w:r>
      <w:r>
        <w:rPr>
          <w:rFonts w:ascii="Arial" w:hAnsi="Arial" w:cs="Arial"/>
          <w:sz w:val="20"/>
          <w:szCs w:val="20"/>
        </w:rPr>
        <w:t xml:space="preserve"> </w:t>
      </w:r>
      <w:r w:rsidRPr="001B60D3">
        <w:rPr>
          <w:rFonts w:ascii="Arial" w:hAnsi="Arial" w:cs="Arial"/>
          <w:sz w:val="20"/>
          <w:szCs w:val="20"/>
        </w:rPr>
        <w:t>(+3ppts).</w:t>
      </w:r>
      <w:r>
        <w:rPr>
          <w:rFonts w:ascii="Arial" w:hAnsi="Arial" w:cs="Arial"/>
          <w:sz w:val="20"/>
          <w:szCs w:val="20"/>
        </w:rPr>
        <w:t xml:space="preserve"> </w:t>
      </w:r>
      <w:r w:rsidRPr="001B60D3">
        <w:rPr>
          <w:rFonts w:ascii="Arial" w:hAnsi="Arial" w:cs="Arial"/>
          <w:sz w:val="20"/>
          <w:szCs w:val="20"/>
        </w:rPr>
        <w:t>Th</w:t>
      </w:r>
      <w:r>
        <w:rPr>
          <w:rFonts w:ascii="Arial" w:hAnsi="Arial" w:cs="Arial"/>
          <w:sz w:val="20"/>
          <w:szCs w:val="20"/>
        </w:rPr>
        <w:t>is</w:t>
      </w:r>
      <w:r w:rsidRPr="001B60D3">
        <w:rPr>
          <w:rFonts w:ascii="Arial" w:hAnsi="Arial" w:cs="Arial"/>
          <w:sz w:val="20"/>
          <w:szCs w:val="20"/>
        </w:rPr>
        <w:t xml:space="preserve"> increase in share can be</w:t>
      </w:r>
      <w:r>
        <w:rPr>
          <w:rFonts w:ascii="Arial" w:hAnsi="Arial" w:cs="Arial"/>
          <w:sz w:val="20"/>
          <w:szCs w:val="20"/>
        </w:rPr>
        <w:t xml:space="preserve"> </w:t>
      </w:r>
      <w:r w:rsidRPr="001B60D3">
        <w:rPr>
          <w:rFonts w:ascii="Arial" w:hAnsi="Arial" w:cs="Arial"/>
          <w:sz w:val="20"/>
          <w:szCs w:val="20"/>
        </w:rPr>
        <w:t>attributed to consumers returning t</w:t>
      </w:r>
      <w:r>
        <w:rPr>
          <w:rFonts w:ascii="Arial" w:hAnsi="Arial" w:cs="Arial"/>
          <w:sz w:val="20"/>
          <w:szCs w:val="20"/>
        </w:rPr>
        <w:t xml:space="preserve">o </w:t>
      </w:r>
      <w:r w:rsidRPr="001B60D3">
        <w:rPr>
          <w:rFonts w:ascii="Arial" w:hAnsi="Arial" w:cs="Arial"/>
          <w:sz w:val="20"/>
          <w:szCs w:val="20"/>
        </w:rPr>
        <w:t>offices and working lifestyles, as well</w:t>
      </w:r>
      <w:r>
        <w:rPr>
          <w:rFonts w:ascii="Arial" w:hAnsi="Arial" w:cs="Arial"/>
          <w:sz w:val="20"/>
          <w:szCs w:val="20"/>
        </w:rPr>
        <w:t xml:space="preserve"> </w:t>
      </w:r>
      <w:r w:rsidRPr="001B60D3">
        <w:rPr>
          <w:rFonts w:ascii="Arial" w:hAnsi="Arial" w:cs="Arial"/>
          <w:sz w:val="20"/>
          <w:szCs w:val="20"/>
        </w:rPr>
        <w:t>as the cooling weather fostering</w:t>
      </w:r>
      <w:r>
        <w:rPr>
          <w:rFonts w:ascii="Arial" w:hAnsi="Arial" w:cs="Arial"/>
          <w:sz w:val="20"/>
          <w:szCs w:val="20"/>
        </w:rPr>
        <w:t xml:space="preserve"> </w:t>
      </w:r>
      <w:r w:rsidRPr="001B60D3">
        <w:rPr>
          <w:rFonts w:ascii="Arial" w:hAnsi="Arial" w:cs="Arial"/>
          <w:sz w:val="20"/>
          <w:szCs w:val="20"/>
        </w:rPr>
        <w:t>consumer appetite for hot drinks.</w:t>
      </w:r>
      <w:r>
        <w:rPr>
          <w:rFonts w:ascii="Arial" w:hAnsi="Arial" w:cs="Arial"/>
          <w:sz w:val="20"/>
          <w:szCs w:val="20"/>
        </w:rPr>
        <w:t xml:space="preserve"> </w:t>
      </w:r>
      <w:r w:rsidRPr="001B60D3">
        <w:rPr>
          <w:rFonts w:ascii="Arial" w:hAnsi="Arial" w:cs="Arial"/>
          <w:sz w:val="20"/>
          <w:szCs w:val="20"/>
        </w:rPr>
        <w:t>Hot chocolate and tea have also</w:t>
      </w:r>
      <w:r>
        <w:rPr>
          <w:rFonts w:ascii="Arial" w:hAnsi="Arial" w:cs="Arial"/>
          <w:sz w:val="20"/>
          <w:szCs w:val="20"/>
        </w:rPr>
        <w:t xml:space="preserve"> </w:t>
      </w:r>
      <w:r w:rsidRPr="001B60D3">
        <w:rPr>
          <w:rFonts w:ascii="Arial" w:hAnsi="Arial" w:cs="Arial"/>
          <w:sz w:val="20"/>
          <w:szCs w:val="20"/>
        </w:rPr>
        <w:t>benefited from the move towards hot</w:t>
      </w:r>
      <w:r>
        <w:rPr>
          <w:rFonts w:ascii="Arial" w:hAnsi="Arial" w:cs="Arial"/>
          <w:sz w:val="20"/>
          <w:szCs w:val="20"/>
        </w:rPr>
        <w:t xml:space="preserve"> </w:t>
      </w:r>
      <w:r w:rsidRPr="001B60D3">
        <w:rPr>
          <w:rFonts w:ascii="Arial" w:hAnsi="Arial" w:cs="Arial"/>
          <w:sz w:val="20"/>
          <w:szCs w:val="20"/>
        </w:rPr>
        <w:t>drinks, increasing by +2ppts and</w:t>
      </w:r>
      <w:r>
        <w:rPr>
          <w:rFonts w:ascii="Arial" w:hAnsi="Arial" w:cs="Arial"/>
          <w:sz w:val="20"/>
          <w:szCs w:val="20"/>
        </w:rPr>
        <w:t xml:space="preserve"> </w:t>
      </w:r>
      <w:r w:rsidRPr="001B60D3">
        <w:rPr>
          <w:rFonts w:ascii="Arial" w:hAnsi="Arial" w:cs="Arial"/>
          <w:sz w:val="20"/>
          <w:szCs w:val="20"/>
        </w:rPr>
        <w:t>+1ppt</w:t>
      </w:r>
      <w:r>
        <w:rPr>
          <w:rFonts w:ascii="Arial" w:hAnsi="Arial" w:cs="Arial"/>
          <w:sz w:val="20"/>
          <w:szCs w:val="20"/>
        </w:rPr>
        <w:t>.</w:t>
      </w:r>
    </w:p>
    <w:p w14:paraId="15F56B04" w14:textId="2EB1596D" w:rsidR="00841BDD" w:rsidRDefault="001B60D3" w:rsidP="00E734FF">
      <w:pPr>
        <w:rPr>
          <w:rFonts w:ascii="Arial" w:hAnsi="Arial" w:cs="Arial"/>
          <w:i/>
          <w:iCs/>
          <w:sz w:val="20"/>
          <w:szCs w:val="20"/>
        </w:rPr>
      </w:pPr>
      <w:r>
        <w:rPr>
          <w:rFonts w:ascii="Arial" w:hAnsi="Arial" w:cs="Arial"/>
          <w:sz w:val="20"/>
          <w:szCs w:val="20"/>
        </w:rPr>
        <w:t>Blonnie Whist, Insight Director</w:t>
      </w:r>
      <w:r w:rsidR="007446FD" w:rsidRPr="007446FD">
        <w:rPr>
          <w:rFonts w:ascii="Arial" w:hAnsi="Arial" w:cs="Arial"/>
          <w:sz w:val="20"/>
          <w:szCs w:val="20"/>
        </w:rPr>
        <w:t xml:space="preserve"> at </w:t>
      </w:r>
      <w:r w:rsidR="007446FD">
        <w:rPr>
          <w:rFonts w:ascii="Arial" w:hAnsi="Arial" w:cs="Arial"/>
          <w:sz w:val="20"/>
          <w:szCs w:val="20"/>
        </w:rPr>
        <w:t>Lumina Intelligence</w:t>
      </w:r>
      <w:r w:rsidR="007446FD" w:rsidRPr="007446FD">
        <w:rPr>
          <w:rFonts w:ascii="Arial" w:hAnsi="Arial" w:cs="Arial"/>
          <w:sz w:val="20"/>
          <w:szCs w:val="20"/>
        </w:rPr>
        <w:t xml:space="preserve"> sa</w:t>
      </w:r>
      <w:r w:rsidR="001C5B98">
        <w:rPr>
          <w:rFonts w:ascii="Arial" w:hAnsi="Arial" w:cs="Arial"/>
          <w:sz w:val="20"/>
          <w:szCs w:val="20"/>
        </w:rPr>
        <w:t>id</w:t>
      </w:r>
      <w:r w:rsidR="007446FD" w:rsidRPr="007446FD">
        <w:rPr>
          <w:rFonts w:ascii="Arial" w:hAnsi="Arial" w:cs="Arial"/>
          <w:sz w:val="20"/>
          <w:szCs w:val="20"/>
        </w:rPr>
        <w:t xml:space="preserve">, </w:t>
      </w:r>
      <w:r w:rsidR="007446FD" w:rsidRPr="003E204B">
        <w:rPr>
          <w:rFonts w:ascii="Arial" w:hAnsi="Arial" w:cs="Arial"/>
          <w:i/>
          <w:iCs/>
          <w:sz w:val="20"/>
          <w:szCs w:val="20"/>
        </w:rPr>
        <w:t>“</w:t>
      </w:r>
      <w:r w:rsidR="00391748">
        <w:rPr>
          <w:rFonts w:ascii="Arial" w:hAnsi="Arial" w:cs="Arial"/>
          <w:i/>
          <w:iCs/>
          <w:sz w:val="20"/>
          <w:szCs w:val="20"/>
        </w:rPr>
        <w:t>Throughout September, October and November, we have seen</w:t>
      </w:r>
      <w:r w:rsidR="00AF6555">
        <w:rPr>
          <w:rFonts w:ascii="Arial" w:hAnsi="Arial" w:cs="Arial"/>
          <w:i/>
          <w:iCs/>
          <w:sz w:val="20"/>
          <w:szCs w:val="20"/>
        </w:rPr>
        <w:t xml:space="preserve"> an uptick in the proportion of consumers purchasing food to go due to commuting or travelling. Consumers have been returning to the workplace, resulting in a buoyant period for operators, as FTG accounts for more than one-in-four out of home occasions.</w:t>
      </w:r>
      <w:r w:rsidR="00841BDD">
        <w:rPr>
          <w:rFonts w:ascii="Arial" w:hAnsi="Arial" w:cs="Arial"/>
          <w:i/>
          <w:iCs/>
          <w:sz w:val="20"/>
          <w:szCs w:val="20"/>
        </w:rPr>
        <w:t>”</w:t>
      </w:r>
    </w:p>
    <w:p w14:paraId="39C9F788" w14:textId="61F88E9D" w:rsidR="00AF6555" w:rsidRDefault="00841BDD" w:rsidP="00E734FF">
      <w:pPr>
        <w:rPr>
          <w:rFonts w:ascii="Arial" w:hAnsi="Arial" w:cs="Arial"/>
          <w:i/>
          <w:iCs/>
          <w:sz w:val="20"/>
          <w:szCs w:val="20"/>
        </w:rPr>
      </w:pPr>
      <w:r>
        <w:rPr>
          <w:rFonts w:ascii="Arial" w:hAnsi="Arial" w:cs="Arial"/>
          <w:i/>
          <w:iCs/>
          <w:sz w:val="20"/>
          <w:szCs w:val="20"/>
        </w:rPr>
        <w:t>“</w:t>
      </w:r>
      <w:r w:rsidR="00AF6555">
        <w:rPr>
          <w:rFonts w:ascii="Arial" w:hAnsi="Arial" w:cs="Arial"/>
          <w:i/>
          <w:iCs/>
          <w:sz w:val="20"/>
          <w:szCs w:val="20"/>
        </w:rPr>
        <w:t>With the spread of the Omicron variant of coronavirus gathering pace, restrictions are starting to get tighter, with the government recommending people work from home where possible. This is likely to cause a fall in FTG occasions, however, operators and retailers in more suburban, residential areas remain well placed to capitalise on the “food to go home” trend and continue to drive footfall despite a less transient workforce.”</w:t>
      </w:r>
    </w:p>
    <w:p w14:paraId="274072ED" w14:textId="0E0D3421" w:rsidR="00AF6555" w:rsidRPr="00841BDD" w:rsidRDefault="00912D00" w:rsidP="00E734FF">
      <w:pPr>
        <w:rPr>
          <w:rFonts w:ascii="Arial" w:hAnsi="Arial" w:cs="Arial"/>
          <w:sz w:val="20"/>
          <w:szCs w:val="20"/>
        </w:rPr>
      </w:pPr>
      <w:hyperlink r:id="rId7" w:history="1">
        <w:r w:rsidR="00841BDD" w:rsidRPr="00841BDD">
          <w:rPr>
            <w:rStyle w:val="Hyperlink"/>
            <w:rFonts w:ascii="Arial" w:hAnsi="Arial" w:cs="Arial"/>
            <w:sz w:val="20"/>
            <w:szCs w:val="20"/>
          </w:rPr>
          <w:t>Find out more about the report here</w:t>
        </w:r>
      </w:hyperlink>
    </w:p>
    <w:p w14:paraId="37CCD9B8" w14:textId="2707B1DD" w:rsidR="00C16ADB" w:rsidRPr="00550B08" w:rsidRDefault="00C16ADB" w:rsidP="007446FD">
      <w:pPr>
        <w:rPr>
          <w:rFonts w:ascii="Arial" w:hAnsi="Arial" w:cs="Arial"/>
          <w:b/>
          <w:bCs/>
        </w:rPr>
      </w:pPr>
      <w:r w:rsidRPr="00550B08">
        <w:rPr>
          <w:rFonts w:ascii="Arial" w:hAnsi="Arial" w:cs="Arial"/>
          <w:b/>
          <w:bCs/>
        </w:rPr>
        <w:t>ENDS</w:t>
      </w:r>
    </w:p>
    <w:p w14:paraId="2DC5233D" w14:textId="7EE5B200" w:rsidR="00ED3ABD" w:rsidRPr="00550B08" w:rsidRDefault="00ED3ABD">
      <w:pPr>
        <w:rPr>
          <w:rFonts w:ascii="Arial" w:hAnsi="Arial" w:cs="Arial"/>
          <w:sz w:val="20"/>
          <w:szCs w:val="20"/>
        </w:rPr>
      </w:pPr>
    </w:p>
    <w:p w14:paraId="305D5469" w14:textId="707DFB05" w:rsidR="00550B08" w:rsidRPr="00550B08" w:rsidRDefault="00550B08">
      <w:pPr>
        <w:rPr>
          <w:rFonts w:ascii="Arial" w:hAnsi="Arial" w:cs="Arial"/>
          <w:b/>
          <w:bCs/>
          <w:sz w:val="20"/>
          <w:szCs w:val="20"/>
        </w:rPr>
      </w:pPr>
      <w:r w:rsidRPr="00550B08">
        <w:rPr>
          <w:rFonts w:ascii="Arial" w:hAnsi="Arial" w:cs="Arial"/>
          <w:b/>
          <w:bCs/>
          <w:sz w:val="20"/>
          <w:szCs w:val="20"/>
        </w:rPr>
        <w:t>Report methodology</w:t>
      </w:r>
    </w:p>
    <w:p w14:paraId="055AE942" w14:textId="336377A4" w:rsidR="00A95E5C" w:rsidRDefault="00A95E5C" w:rsidP="00A95E5C">
      <w:pPr>
        <w:rPr>
          <w:rFonts w:ascii="Arial" w:hAnsi="Arial" w:cs="Arial"/>
          <w:sz w:val="20"/>
          <w:szCs w:val="20"/>
        </w:rPr>
      </w:pPr>
      <w:r w:rsidRPr="009F659F">
        <w:rPr>
          <w:rFonts w:ascii="Arial" w:hAnsi="Arial" w:cs="Arial"/>
          <w:sz w:val="20"/>
          <w:szCs w:val="20"/>
        </w:rPr>
        <w:t xml:space="preserve">The data within the Lumina Intelligence UK Food </w:t>
      </w:r>
      <w:proofErr w:type="gramStart"/>
      <w:r w:rsidRPr="009F659F">
        <w:rPr>
          <w:rFonts w:ascii="Arial" w:hAnsi="Arial" w:cs="Arial"/>
          <w:sz w:val="20"/>
          <w:szCs w:val="20"/>
        </w:rPr>
        <w:t>To</w:t>
      </w:r>
      <w:proofErr w:type="gramEnd"/>
      <w:r w:rsidRPr="009F659F">
        <w:rPr>
          <w:rFonts w:ascii="Arial" w:hAnsi="Arial" w:cs="Arial"/>
          <w:sz w:val="20"/>
          <w:szCs w:val="20"/>
        </w:rPr>
        <w:t xml:space="preserve"> Go Market Report 202</w:t>
      </w:r>
      <w:r w:rsidR="0064548D">
        <w:rPr>
          <w:rFonts w:ascii="Arial" w:hAnsi="Arial" w:cs="Arial"/>
          <w:sz w:val="20"/>
          <w:szCs w:val="20"/>
        </w:rPr>
        <w:t>1</w:t>
      </w:r>
      <w:r w:rsidRPr="009F659F">
        <w:rPr>
          <w:rFonts w:ascii="Arial" w:hAnsi="Arial" w:cs="Arial"/>
          <w:sz w:val="20"/>
          <w:szCs w:val="20"/>
        </w:rPr>
        <w:t xml:space="preserve"> was collated using:</w:t>
      </w:r>
    </w:p>
    <w:p w14:paraId="4DF8AAD0" w14:textId="7E08557B" w:rsidR="001B2875" w:rsidRPr="001B2875" w:rsidRDefault="001B2875" w:rsidP="001B2875">
      <w:pPr>
        <w:pStyle w:val="ListParagraph"/>
        <w:numPr>
          <w:ilvl w:val="0"/>
          <w:numId w:val="8"/>
        </w:numPr>
        <w:rPr>
          <w:rFonts w:ascii="Arial" w:hAnsi="Arial" w:cs="Arial"/>
          <w:sz w:val="20"/>
          <w:szCs w:val="20"/>
        </w:rPr>
      </w:pPr>
      <w:r w:rsidRPr="001B2875">
        <w:rPr>
          <w:rFonts w:ascii="Arial" w:hAnsi="Arial" w:cs="Arial"/>
          <w:sz w:val="20"/>
          <w:szCs w:val="20"/>
        </w:rPr>
        <w:t>Consumer eating out behaviour across all UK eating and drinking out channels through the</w:t>
      </w:r>
      <w:r>
        <w:rPr>
          <w:rFonts w:ascii="Arial" w:hAnsi="Arial" w:cs="Arial"/>
          <w:sz w:val="20"/>
          <w:szCs w:val="20"/>
        </w:rPr>
        <w:t xml:space="preserve"> </w:t>
      </w:r>
      <w:r w:rsidRPr="001B2875">
        <w:rPr>
          <w:rFonts w:ascii="Arial" w:hAnsi="Arial" w:cs="Arial"/>
          <w:sz w:val="20"/>
          <w:szCs w:val="20"/>
        </w:rPr>
        <w:t>Lumina Intelligence Eating &amp; Drinking Out Panel, based on 78,000 interviews each year</w:t>
      </w:r>
    </w:p>
    <w:p w14:paraId="29382DD4" w14:textId="14FFB584" w:rsidR="001B2875" w:rsidRPr="001B2875" w:rsidRDefault="001B2875" w:rsidP="001B2875">
      <w:pPr>
        <w:pStyle w:val="ListParagraph"/>
        <w:numPr>
          <w:ilvl w:val="0"/>
          <w:numId w:val="8"/>
        </w:numPr>
        <w:rPr>
          <w:rFonts w:ascii="Arial" w:hAnsi="Arial" w:cs="Arial"/>
          <w:sz w:val="20"/>
          <w:szCs w:val="20"/>
        </w:rPr>
      </w:pPr>
      <w:r w:rsidRPr="001B2875">
        <w:rPr>
          <w:rFonts w:ascii="Arial" w:hAnsi="Arial" w:cs="Arial"/>
          <w:sz w:val="20"/>
          <w:szCs w:val="20"/>
        </w:rPr>
        <w:t>Consumer attitudes and future intentions based</w:t>
      </w:r>
      <w:r>
        <w:rPr>
          <w:rFonts w:ascii="Arial" w:hAnsi="Arial" w:cs="Arial"/>
          <w:sz w:val="20"/>
          <w:szCs w:val="20"/>
        </w:rPr>
        <w:t xml:space="preserve"> </w:t>
      </w:r>
      <w:r w:rsidRPr="001B2875">
        <w:rPr>
          <w:rFonts w:ascii="Arial" w:hAnsi="Arial" w:cs="Arial"/>
          <w:sz w:val="20"/>
          <w:szCs w:val="20"/>
        </w:rPr>
        <w:t xml:space="preserve">on a bespoke survey (n=1000 </w:t>
      </w:r>
      <w:proofErr w:type="spellStart"/>
      <w:r w:rsidRPr="001B2875">
        <w:rPr>
          <w:rFonts w:ascii="Arial" w:hAnsi="Arial" w:cs="Arial"/>
          <w:sz w:val="20"/>
          <w:szCs w:val="20"/>
        </w:rPr>
        <w:t>nat</w:t>
      </w:r>
      <w:proofErr w:type="spellEnd"/>
      <w:r w:rsidRPr="001B2875">
        <w:rPr>
          <w:rFonts w:ascii="Arial" w:hAnsi="Arial" w:cs="Arial"/>
          <w:sz w:val="20"/>
          <w:szCs w:val="20"/>
        </w:rPr>
        <w:t xml:space="preserve"> rep) </w:t>
      </w:r>
    </w:p>
    <w:p w14:paraId="0250E810" w14:textId="5B599FF7" w:rsidR="001B2875" w:rsidRPr="001B2875" w:rsidRDefault="001B2875" w:rsidP="001B2875">
      <w:pPr>
        <w:pStyle w:val="ListParagraph"/>
        <w:numPr>
          <w:ilvl w:val="0"/>
          <w:numId w:val="8"/>
        </w:numPr>
        <w:rPr>
          <w:rFonts w:ascii="Arial" w:hAnsi="Arial" w:cs="Arial"/>
          <w:sz w:val="20"/>
          <w:szCs w:val="20"/>
        </w:rPr>
      </w:pPr>
      <w:r w:rsidRPr="001B2875">
        <w:rPr>
          <w:rFonts w:ascii="Arial" w:hAnsi="Arial" w:cs="Arial"/>
          <w:sz w:val="20"/>
          <w:szCs w:val="20"/>
        </w:rPr>
        <w:t xml:space="preserve">Operator sales and outlet performance from Lumina Intelligence’s Operator Data Index </w:t>
      </w:r>
    </w:p>
    <w:p w14:paraId="464AFB16" w14:textId="11D60994" w:rsidR="00E734FF" w:rsidRPr="001B2875" w:rsidRDefault="001B2875" w:rsidP="001B2875">
      <w:pPr>
        <w:pStyle w:val="ListParagraph"/>
        <w:numPr>
          <w:ilvl w:val="0"/>
          <w:numId w:val="8"/>
        </w:numPr>
        <w:rPr>
          <w:rFonts w:ascii="Arial" w:hAnsi="Arial" w:cs="Arial"/>
          <w:b/>
          <w:bCs/>
          <w:sz w:val="20"/>
          <w:szCs w:val="20"/>
        </w:rPr>
      </w:pPr>
      <w:r w:rsidRPr="001B2875">
        <w:rPr>
          <w:rFonts w:ascii="Arial" w:hAnsi="Arial" w:cs="Arial"/>
          <w:sz w:val="20"/>
          <w:szCs w:val="20"/>
        </w:rPr>
        <w:t>Supported by commentary/soundbites from senior business leaders</w:t>
      </w:r>
      <w:r w:rsidR="00BA596C">
        <w:rPr>
          <w:rFonts w:ascii="Arial" w:hAnsi="Arial" w:cs="Arial"/>
          <w:sz w:val="20"/>
          <w:szCs w:val="20"/>
        </w:rPr>
        <w:t xml:space="preserve"> and journalists</w:t>
      </w:r>
      <w:r w:rsidRPr="001B2875">
        <w:rPr>
          <w:rFonts w:ascii="Arial" w:hAnsi="Arial" w:cs="Arial"/>
          <w:sz w:val="20"/>
          <w:szCs w:val="20"/>
        </w:rPr>
        <w:t xml:space="preserve"> from within the sector</w:t>
      </w:r>
    </w:p>
    <w:p w14:paraId="4CEA97D8" w14:textId="127C5163" w:rsidR="00ED3ABD" w:rsidRPr="00550B08" w:rsidRDefault="00ED3ABD">
      <w:pPr>
        <w:rPr>
          <w:rFonts w:ascii="Arial" w:hAnsi="Arial" w:cs="Arial"/>
          <w:b/>
          <w:bCs/>
          <w:sz w:val="20"/>
          <w:szCs w:val="20"/>
        </w:rPr>
      </w:pPr>
      <w:r w:rsidRPr="00550B08">
        <w:rPr>
          <w:rFonts w:ascii="Arial" w:hAnsi="Arial" w:cs="Arial"/>
          <w:b/>
          <w:bCs/>
          <w:sz w:val="20"/>
          <w:szCs w:val="20"/>
        </w:rPr>
        <w:t>About Lumina Intelligence</w:t>
      </w:r>
    </w:p>
    <w:p w14:paraId="76264BC3" w14:textId="77777777" w:rsidR="001249C3" w:rsidRPr="001249C3" w:rsidRDefault="001249C3" w:rsidP="001249C3">
      <w:pPr>
        <w:rPr>
          <w:rFonts w:ascii="Arial" w:hAnsi="Arial" w:cs="Arial"/>
          <w:sz w:val="20"/>
          <w:szCs w:val="20"/>
        </w:rPr>
      </w:pPr>
      <w:r w:rsidRPr="001249C3">
        <w:rPr>
          <w:rFonts w:ascii="Arial" w:hAnsi="Arial" w:cs="Arial"/>
          <w:sz w:val="20"/>
          <w:szCs w:val="20"/>
        </w:rPr>
        <w:t xml:space="preserve">Lumina Intelligence inspires the global food and drink sector with deep, actionable insights powered by the world’s best analytics technology. Our products and services are used by the major brands and organisations in these fast moving and growing markets to support business planning, strategic </w:t>
      </w:r>
      <w:proofErr w:type="gramStart"/>
      <w:r w:rsidRPr="001249C3">
        <w:rPr>
          <w:rFonts w:ascii="Arial" w:hAnsi="Arial" w:cs="Arial"/>
          <w:sz w:val="20"/>
          <w:szCs w:val="20"/>
        </w:rPr>
        <w:t>marketing</w:t>
      </w:r>
      <w:proofErr w:type="gramEnd"/>
      <w:r w:rsidRPr="001249C3">
        <w:rPr>
          <w:rFonts w:ascii="Arial" w:hAnsi="Arial" w:cs="Arial"/>
          <w:sz w:val="20"/>
          <w:szCs w:val="20"/>
        </w:rPr>
        <w:t xml:space="preserve"> and new product development. </w:t>
      </w:r>
    </w:p>
    <w:p w14:paraId="36357113" w14:textId="77777777" w:rsidR="001249C3" w:rsidRPr="001249C3" w:rsidRDefault="001249C3" w:rsidP="001249C3">
      <w:pPr>
        <w:rPr>
          <w:rFonts w:ascii="Arial" w:hAnsi="Arial" w:cs="Arial"/>
          <w:sz w:val="20"/>
          <w:szCs w:val="20"/>
        </w:rPr>
      </w:pPr>
      <w:r w:rsidRPr="001249C3">
        <w:rPr>
          <w:rFonts w:ascii="Arial" w:hAnsi="Arial" w:cs="Arial"/>
          <w:sz w:val="20"/>
          <w:szCs w:val="20"/>
        </w:rPr>
        <w:t xml:space="preserve">With offices in London, Chicago, Montpellier, and Singapore, and local on the ground analysts across our businesses, you can trust our market knowledge. We are committed to providing all our customers with up to date accurate information to support critical decision making. </w:t>
      </w:r>
    </w:p>
    <w:p w14:paraId="49E5DCBD" w14:textId="77777777" w:rsidR="001249C3" w:rsidRDefault="001249C3" w:rsidP="001249C3">
      <w:pPr>
        <w:rPr>
          <w:rFonts w:ascii="Arial" w:hAnsi="Arial" w:cs="Arial"/>
          <w:sz w:val="20"/>
          <w:szCs w:val="20"/>
        </w:rPr>
      </w:pPr>
      <w:r w:rsidRPr="001249C3">
        <w:rPr>
          <w:rFonts w:ascii="Arial" w:hAnsi="Arial" w:cs="Arial"/>
          <w:sz w:val="20"/>
          <w:szCs w:val="20"/>
        </w:rPr>
        <w:t xml:space="preserve">Combining the expertise and experience of HIM, MCA Insight and Lumina Intelligence, we are the experts in market and consumer insight across the food &amp; drink and nutrition markets. </w:t>
      </w:r>
    </w:p>
    <w:p w14:paraId="4BD10F37" w14:textId="1716346C" w:rsidR="00113451" w:rsidRPr="00550B08" w:rsidRDefault="00912D00" w:rsidP="001249C3">
      <w:pPr>
        <w:rPr>
          <w:rFonts w:ascii="Arial" w:hAnsi="Arial" w:cs="Arial"/>
          <w:sz w:val="20"/>
          <w:szCs w:val="20"/>
        </w:rPr>
      </w:pPr>
      <w:hyperlink r:id="rId8" w:history="1">
        <w:r w:rsidR="00D308D1" w:rsidRPr="00550B08">
          <w:rPr>
            <w:rStyle w:val="Hyperlink"/>
            <w:rFonts w:ascii="Arial" w:hAnsi="Arial" w:cs="Arial"/>
            <w:sz w:val="20"/>
            <w:szCs w:val="20"/>
          </w:rPr>
          <w:t>https://www.lumina-intelligence.com/</w:t>
        </w:r>
      </w:hyperlink>
    </w:p>
    <w:p w14:paraId="7EB7B16A" w14:textId="77777777" w:rsidR="00113451" w:rsidRPr="00550B08" w:rsidRDefault="00113451">
      <w:pPr>
        <w:rPr>
          <w:rFonts w:ascii="Arial" w:hAnsi="Arial" w:cs="Arial"/>
          <w:sz w:val="20"/>
          <w:szCs w:val="20"/>
        </w:rPr>
      </w:pPr>
    </w:p>
    <w:sectPr w:rsidR="00113451" w:rsidRPr="00550B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6145C9"/>
    <w:multiLevelType w:val="hybridMultilevel"/>
    <w:tmpl w:val="C6E4BA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E41A2B"/>
    <w:multiLevelType w:val="hybridMultilevel"/>
    <w:tmpl w:val="36ACC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4B449F"/>
    <w:multiLevelType w:val="hybridMultilevel"/>
    <w:tmpl w:val="D5301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C884E56"/>
    <w:multiLevelType w:val="hybridMultilevel"/>
    <w:tmpl w:val="5A46C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D7E268D"/>
    <w:multiLevelType w:val="hybridMultilevel"/>
    <w:tmpl w:val="526C8FD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2560506"/>
    <w:multiLevelType w:val="hybridMultilevel"/>
    <w:tmpl w:val="EE167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1C1E00"/>
    <w:multiLevelType w:val="hybridMultilevel"/>
    <w:tmpl w:val="E7D68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A1D330E"/>
    <w:multiLevelType w:val="hybridMultilevel"/>
    <w:tmpl w:val="AA4A5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2"/>
  </w:num>
  <w:num w:numId="3">
    <w:abstractNumId w:val="6"/>
  </w:num>
  <w:num w:numId="4">
    <w:abstractNumId w:val="3"/>
  </w:num>
  <w:num w:numId="5">
    <w:abstractNumId w:val="1"/>
  </w:num>
  <w:num w:numId="6">
    <w:abstractNumId w:val="4"/>
  </w:num>
  <w:num w:numId="7">
    <w:abstractNumId w:val="0"/>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B8A"/>
    <w:rsid w:val="000540D1"/>
    <w:rsid w:val="00072404"/>
    <w:rsid w:val="000F1972"/>
    <w:rsid w:val="00113451"/>
    <w:rsid w:val="00116246"/>
    <w:rsid w:val="001249C3"/>
    <w:rsid w:val="00127C3A"/>
    <w:rsid w:val="001B2875"/>
    <w:rsid w:val="001B60D3"/>
    <w:rsid w:val="001C2E4F"/>
    <w:rsid w:val="001C50C1"/>
    <w:rsid w:val="001C589F"/>
    <w:rsid w:val="001C5B98"/>
    <w:rsid w:val="001C65B6"/>
    <w:rsid w:val="00214D95"/>
    <w:rsid w:val="00217EE3"/>
    <w:rsid w:val="00261F91"/>
    <w:rsid w:val="002723AE"/>
    <w:rsid w:val="00285BD0"/>
    <w:rsid w:val="002A0F0F"/>
    <w:rsid w:val="002A1E6A"/>
    <w:rsid w:val="002F0BB4"/>
    <w:rsid w:val="002F7EAF"/>
    <w:rsid w:val="00302E10"/>
    <w:rsid w:val="00332724"/>
    <w:rsid w:val="00363346"/>
    <w:rsid w:val="00391748"/>
    <w:rsid w:val="003C4BB2"/>
    <w:rsid w:val="003E204B"/>
    <w:rsid w:val="003F621E"/>
    <w:rsid w:val="0044412F"/>
    <w:rsid w:val="00471332"/>
    <w:rsid w:val="004B3902"/>
    <w:rsid w:val="004D23F6"/>
    <w:rsid w:val="004E551E"/>
    <w:rsid w:val="004F1FF8"/>
    <w:rsid w:val="004F62D9"/>
    <w:rsid w:val="00511B5A"/>
    <w:rsid w:val="00550B08"/>
    <w:rsid w:val="0055150D"/>
    <w:rsid w:val="00553497"/>
    <w:rsid w:val="00566CAE"/>
    <w:rsid w:val="005B7B3F"/>
    <w:rsid w:val="005C0F44"/>
    <w:rsid w:val="00604B4A"/>
    <w:rsid w:val="0064548D"/>
    <w:rsid w:val="0064772D"/>
    <w:rsid w:val="00664850"/>
    <w:rsid w:val="006B7F83"/>
    <w:rsid w:val="006D1829"/>
    <w:rsid w:val="006E735F"/>
    <w:rsid w:val="006E79FF"/>
    <w:rsid w:val="00720ABB"/>
    <w:rsid w:val="007221DF"/>
    <w:rsid w:val="007229E3"/>
    <w:rsid w:val="007446FD"/>
    <w:rsid w:val="00755025"/>
    <w:rsid w:val="0076037A"/>
    <w:rsid w:val="007B4F7A"/>
    <w:rsid w:val="007F3C85"/>
    <w:rsid w:val="008249B4"/>
    <w:rsid w:val="008276B8"/>
    <w:rsid w:val="00841BDD"/>
    <w:rsid w:val="00842379"/>
    <w:rsid w:val="00846DDB"/>
    <w:rsid w:val="00862CCB"/>
    <w:rsid w:val="008A46AD"/>
    <w:rsid w:val="008D4655"/>
    <w:rsid w:val="008E317A"/>
    <w:rsid w:val="008E5A63"/>
    <w:rsid w:val="00906A89"/>
    <w:rsid w:val="00912D00"/>
    <w:rsid w:val="0094762B"/>
    <w:rsid w:val="00996632"/>
    <w:rsid w:val="009A6775"/>
    <w:rsid w:val="009C613A"/>
    <w:rsid w:val="009D1543"/>
    <w:rsid w:val="00A95E5C"/>
    <w:rsid w:val="00AA3F19"/>
    <w:rsid w:val="00AB3399"/>
    <w:rsid w:val="00AD236E"/>
    <w:rsid w:val="00AE6B2F"/>
    <w:rsid w:val="00AF6555"/>
    <w:rsid w:val="00B03B5B"/>
    <w:rsid w:val="00B06987"/>
    <w:rsid w:val="00B06B5C"/>
    <w:rsid w:val="00B17B21"/>
    <w:rsid w:val="00B414CE"/>
    <w:rsid w:val="00B46E6F"/>
    <w:rsid w:val="00B94AC2"/>
    <w:rsid w:val="00BA596C"/>
    <w:rsid w:val="00BB4747"/>
    <w:rsid w:val="00C04D48"/>
    <w:rsid w:val="00C16ADB"/>
    <w:rsid w:val="00C270FD"/>
    <w:rsid w:val="00C273A6"/>
    <w:rsid w:val="00C30C1F"/>
    <w:rsid w:val="00C545F0"/>
    <w:rsid w:val="00C77C17"/>
    <w:rsid w:val="00C86028"/>
    <w:rsid w:val="00CB101B"/>
    <w:rsid w:val="00CE6B8A"/>
    <w:rsid w:val="00D25202"/>
    <w:rsid w:val="00D30793"/>
    <w:rsid w:val="00D308D1"/>
    <w:rsid w:val="00D36AF3"/>
    <w:rsid w:val="00DA3FA1"/>
    <w:rsid w:val="00DB2AFC"/>
    <w:rsid w:val="00E214AC"/>
    <w:rsid w:val="00E56A95"/>
    <w:rsid w:val="00E72427"/>
    <w:rsid w:val="00E734FF"/>
    <w:rsid w:val="00E76528"/>
    <w:rsid w:val="00EA1B39"/>
    <w:rsid w:val="00EC455C"/>
    <w:rsid w:val="00ED0369"/>
    <w:rsid w:val="00ED2C5E"/>
    <w:rsid w:val="00ED3ABD"/>
    <w:rsid w:val="00EE59D7"/>
    <w:rsid w:val="00F16921"/>
    <w:rsid w:val="00F30CBB"/>
    <w:rsid w:val="00FB7D7E"/>
    <w:rsid w:val="00FC1A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2E0BE"/>
  <w15:chartTrackingRefBased/>
  <w15:docId w15:val="{DB18318A-1872-42BE-9CEA-53F63272B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3ABD"/>
    <w:rPr>
      <w:color w:val="0563C1" w:themeColor="hyperlink"/>
      <w:u w:val="single"/>
    </w:rPr>
  </w:style>
  <w:style w:type="character" w:styleId="UnresolvedMention">
    <w:name w:val="Unresolved Mention"/>
    <w:basedOn w:val="DefaultParagraphFont"/>
    <w:uiPriority w:val="99"/>
    <w:semiHidden/>
    <w:unhideWhenUsed/>
    <w:rsid w:val="00ED3ABD"/>
    <w:rPr>
      <w:color w:val="605E5C"/>
      <w:shd w:val="clear" w:color="auto" w:fill="E1DFDD"/>
    </w:rPr>
  </w:style>
  <w:style w:type="paragraph" w:styleId="BalloonText">
    <w:name w:val="Balloon Text"/>
    <w:basedOn w:val="Normal"/>
    <w:link w:val="BalloonTextChar"/>
    <w:uiPriority w:val="99"/>
    <w:semiHidden/>
    <w:unhideWhenUsed/>
    <w:rsid w:val="00846D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6DDB"/>
    <w:rPr>
      <w:rFonts w:ascii="Segoe UI" w:hAnsi="Segoe UI" w:cs="Segoe UI"/>
      <w:sz w:val="18"/>
      <w:szCs w:val="18"/>
    </w:rPr>
  </w:style>
  <w:style w:type="paragraph" w:styleId="ListParagraph">
    <w:name w:val="List Paragraph"/>
    <w:basedOn w:val="Normal"/>
    <w:uiPriority w:val="34"/>
    <w:qFormat/>
    <w:rsid w:val="00550B08"/>
    <w:pPr>
      <w:ind w:left="720"/>
      <w:contextualSpacing/>
    </w:pPr>
  </w:style>
  <w:style w:type="character" w:styleId="CommentReference">
    <w:name w:val="annotation reference"/>
    <w:basedOn w:val="DefaultParagraphFont"/>
    <w:uiPriority w:val="99"/>
    <w:semiHidden/>
    <w:unhideWhenUsed/>
    <w:rsid w:val="0044412F"/>
    <w:rPr>
      <w:sz w:val="16"/>
      <w:szCs w:val="16"/>
    </w:rPr>
  </w:style>
  <w:style w:type="paragraph" w:styleId="CommentText">
    <w:name w:val="annotation text"/>
    <w:basedOn w:val="Normal"/>
    <w:link w:val="CommentTextChar"/>
    <w:uiPriority w:val="99"/>
    <w:semiHidden/>
    <w:unhideWhenUsed/>
    <w:rsid w:val="0044412F"/>
    <w:pPr>
      <w:spacing w:line="240" w:lineRule="auto"/>
    </w:pPr>
    <w:rPr>
      <w:sz w:val="20"/>
      <w:szCs w:val="20"/>
    </w:rPr>
  </w:style>
  <w:style w:type="character" w:customStyle="1" w:styleId="CommentTextChar">
    <w:name w:val="Comment Text Char"/>
    <w:basedOn w:val="DefaultParagraphFont"/>
    <w:link w:val="CommentText"/>
    <w:uiPriority w:val="99"/>
    <w:semiHidden/>
    <w:rsid w:val="0044412F"/>
    <w:rPr>
      <w:sz w:val="20"/>
      <w:szCs w:val="20"/>
    </w:rPr>
  </w:style>
  <w:style w:type="paragraph" w:styleId="CommentSubject">
    <w:name w:val="annotation subject"/>
    <w:basedOn w:val="CommentText"/>
    <w:next w:val="CommentText"/>
    <w:link w:val="CommentSubjectChar"/>
    <w:uiPriority w:val="99"/>
    <w:semiHidden/>
    <w:unhideWhenUsed/>
    <w:rsid w:val="0044412F"/>
    <w:rPr>
      <w:b/>
      <w:bCs/>
    </w:rPr>
  </w:style>
  <w:style w:type="character" w:customStyle="1" w:styleId="CommentSubjectChar">
    <w:name w:val="Comment Subject Char"/>
    <w:basedOn w:val="CommentTextChar"/>
    <w:link w:val="CommentSubject"/>
    <w:uiPriority w:val="99"/>
    <w:semiHidden/>
    <w:rsid w:val="0044412F"/>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umina-intelligence.com/" TargetMode="External"/><Relationship Id="rId3" Type="http://schemas.openxmlformats.org/officeDocument/2006/relationships/settings" Target="settings.xml"/><Relationship Id="rId7" Type="http://schemas.openxmlformats.org/officeDocument/2006/relationships/hyperlink" Target="https://store.lumina-intelligence.com/product/uk-food-to-go-market-report-202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iorgio.rigali@lumina-intelligence.co.uk"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638</Words>
  <Characters>3638</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Giorgio Rigali</dc:creator>
  <cp:keywords/>
  <dc:description/>
  <cp:lastModifiedBy>Giorgio Rigali</cp:lastModifiedBy>
  <cp:revision>2</cp:revision>
  <dcterms:created xsi:type="dcterms:W3CDTF">2021-12-20T14:51:00Z</dcterms:created>
  <dcterms:modified xsi:type="dcterms:W3CDTF">2021-12-20T14:51:00Z</dcterms:modified>
</cp:coreProperties>
</file>