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080EF972" w:rsidR="00ED3ABD" w:rsidRDefault="00051983" w:rsidP="00ED3ABD">
      <w:pPr>
        <w:spacing w:after="0" w:line="240" w:lineRule="auto"/>
        <w:rPr>
          <w:rFonts w:ascii="Arial" w:hAnsi="Arial" w:cs="Arial"/>
          <w:b/>
          <w:bCs/>
          <w:sz w:val="18"/>
          <w:szCs w:val="18"/>
        </w:rPr>
      </w:pPr>
      <w:hyperlink r:id="rId6" w:history="1">
        <w:r w:rsidR="008355EF" w:rsidRPr="00670A7F">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B224F88" w:rsidR="00ED3ABD" w:rsidRPr="00550B08" w:rsidRDefault="008355E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10</w:t>
      </w:r>
      <w:r w:rsidR="008E65E2">
        <w:rPr>
          <w:rStyle w:val="Hyperlink"/>
          <w:rFonts w:ascii="Arial" w:hAnsi="Arial" w:cs="Arial"/>
          <w:b/>
          <w:bCs/>
          <w:color w:val="505050"/>
          <w:sz w:val="18"/>
          <w:szCs w:val="18"/>
          <w:u w:val="none"/>
        </w:rPr>
        <w:t xml:space="preserve"> </w:t>
      </w:r>
      <w:r w:rsidR="00050D01">
        <w:rPr>
          <w:rStyle w:val="Hyperlink"/>
          <w:rFonts w:ascii="Arial" w:hAnsi="Arial" w:cs="Arial"/>
          <w:b/>
          <w:bCs/>
          <w:color w:val="505050"/>
          <w:sz w:val="18"/>
          <w:szCs w:val="18"/>
          <w:u w:val="none"/>
        </w:rPr>
        <w:t>May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4E9ADB4E" w:rsidR="00856858" w:rsidRPr="00856858" w:rsidRDefault="008355EF" w:rsidP="00856858">
      <w:pPr>
        <w:jc w:val="center"/>
        <w:rPr>
          <w:rFonts w:ascii="Arial" w:hAnsi="Arial" w:cs="Arial"/>
          <w:b/>
          <w:bCs/>
          <w:sz w:val="32"/>
          <w:szCs w:val="32"/>
        </w:rPr>
      </w:pPr>
      <w:r w:rsidRPr="44DF054F">
        <w:rPr>
          <w:rFonts w:ascii="Arial" w:hAnsi="Arial" w:cs="Arial"/>
          <w:b/>
          <w:bCs/>
          <w:sz w:val="32"/>
          <w:szCs w:val="32"/>
        </w:rPr>
        <w:t>Sandwiches are offering operators ways to mitigate rising cost of living challenges</w:t>
      </w:r>
    </w:p>
    <w:p w14:paraId="6CF1AA6A" w14:textId="730BCC27" w:rsidR="0062209E" w:rsidRDefault="009400D0" w:rsidP="00A973D5">
      <w:pPr>
        <w:rPr>
          <w:rFonts w:ascii="Arial" w:hAnsi="Arial" w:cs="Arial"/>
          <w:sz w:val="20"/>
          <w:szCs w:val="20"/>
        </w:rPr>
      </w:pPr>
      <w:r w:rsidRPr="009400D0">
        <w:rPr>
          <w:rFonts w:ascii="Arial" w:hAnsi="Arial" w:cs="Arial"/>
          <w:sz w:val="20"/>
          <w:szCs w:val="20"/>
        </w:rPr>
        <w:t xml:space="preserve">According to </w:t>
      </w:r>
      <w:r w:rsidR="0062209E">
        <w:rPr>
          <w:rFonts w:ascii="Arial" w:hAnsi="Arial" w:cs="Arial"/>
          <w:sz w:val="20"/>
          <w:szCs w:val="20"/>
        </w:rPr>
        <w:t xml:space="preserve">data from Lumina Intelligence’s Menu Tracker, the proportion of main dishes on operator menus that are sandwiches has risen across the following four </w:t>
      </w:r>
      <w:proofErr w:type="gramStart"/>
      <w:r w:rsidR="0062209E">
        <w:rPr>
          <w:rFonts w:ascii="Arial" w:hAnsi="Arial" w:cs="Arial"/>
          <w:sz w:val="20"/>
          <w:szCs w:val="20"/>
        </w:rPr>
        <w:t>key</w:t>
      </w:r>
      <w:proofErr w:type="gramEnd"/>
      <w:r w:rsidR="0062209E">
        <w:rPr>
          <w:rFonts w:ascii="Arial" w:hAnsi="Arial" w:cs="Arial"/>
          <w:sz w:val="20"/>
          <w:szCs w:val="20"/>
        </w:rPr>
        <w:t xml:space="preserve"> eating out channels:</w:t>
      </w:r>
    </w:p>
    <w:tbl>
      <w:tblPr>
        <w:tblStyle w:val="TableGrid"/>
        <w:tblW w:w="0" w:type="auto"/>
        <w:tblLook w:val="04A0" w:firstRow="1" w:lastRow="0" w:firstColumn="1" w:lastColumn="0" w:noHBand="0" w:noVBand="1"/>
      </w:tblPr>
      <w:tblGrid>
        <w:gridCol w:w="2114"/>
        <w:gridCol w:w="4069"/>
        <w:gridCol w:w="2833"/>
      </w:tblGrid>
      <w:tr w:rsidR="0062209E" w14:paraId="7ECCC02D" w14:textId="1547DF4B" w:rsidTr="001557EC">
        <w:tc>
          <w:tcPr>
            <w:tcW w:w="2547" w:type="dxa"/>
            <w:shd w:val="clear" w:color="auto" w:fill="323E4F" w:themeFill="text2" w:themeFillShade="BF"/>
          </w:tcPr>
          <w:p w14:paraId="11CEDC25" w14:textId="0775AB53" w:rsidR="0062209E" w:rsidRPr="0062209E" w:rsidRDefault="0062209E" w:rsidP="00A973D5">
            <w:pPr>
              <w:rPr>
                <w:rFonts w:ascii="Arial" w:hAnsi="Arial" w:cs="Arial"/>
                <w:b/>
                <w:bCs/>
                <w:color w:val="FFFFFF" w:themeColor="background1"/>
                <w:sz w:val="20"/>
                <w:szCs w:val="20"/>
              </w:rPr>
            </w:pPr>
            <w:r w:rsidRPr="0062209E">
              <w:rPr>
                <w:rFonts w:ascii="Arial" w:hAnsi="Arial" w:cs="Arial"/>
                <w:b/>
                <w:bCs/>
                <w:color w:val="FFFFFF" w:themeColor="background1"/>
                <w:sz w:val="20"/>
                <w:szCs w:val="20"/>
              </w:rPr>
              <w:t>Channel</w:t>
            </w:r>
          </w:p>
        </w:tc>
        <w:tc>
          <w:tcPr>
            <w:tcW w:w="5386" w:type="dxa"/>
            <w:shd w:val="clear" w:color="auto" w:fill="323E4F" w:themeFill="text2" w:themeFillShade="BF"/>
          </w:tcPr>
          <w:p w14:paraId="47E03136" w14:textId="226A7218" w:rsidR="0062209E" w:rsidRPr="0062209E" w:rsidRDefault="0062209E" w:rsidP="00A973D5">
            <w:pPr>
              <w:rPr>
                <w:rFonts w:ascii="Arial" w:hAnsi="Arial" w:cs="Arial"/>
                <w:b/>
                <w:bCs/>
                <w:color w:val="FFFFFF" w:themeColor="background1"/>
                <w:sz w:val="20"/>
                <w:szCs w:val="20"/>
              </w:rPr>
            </w:pPr>
            <w:r w:rsidRPr="0062209E">
              <w:rPr>
                <w:rFonts w:ascii="Arial" w:hAnsi="Arial" w:cs="Arial"/>
                <w:b/>
                <w:bCs/>
                <w:color w:val="FFFFFF" w:themeColor="background1"/>
                <w:sz w:val="20"/>
                <w:szCs w:val="20"/>
              </w:rPr>
              <w:t>% of main dishes listed as sandwiches in March 2022</w:t>
            </w:r>
          </w:p>
        </w:tc>
        <w:tc>
          <w:tcPr>
            <w:tcW w:w="3686" w:type="dxa"/>
            <w:shd w:val="clear" w:color="auto" w:fill="323E4F" w:themeFill="text2" w:themeFillShade="BF"/>
          </w:tcPr>
          <w:p w14:paraId="014DFD05" w14:textId="2830802F" w:rsidR="0062209E" w:rsidRPr="0062209E" w:rsidRDefault="0062209E" w:rsidP="001557EC">
            <w:pPr>
              <w:jc w:val="center"/>
              <w:rPr>
                <w:rFonts w:ascii="Arial" w:hAnsi="Arial" w:cs="Arial"/>
                <w:b/>
                <w:bCs/>
                <w:color w:val="FFFFFF" w:themeColor="background1"/>
                <w:sz w:val="20"/>
                <w:szCs w:val="20"/>
              </w:rPr>
            </w:pPr>
            <w:r w:rsidRPr="0062209E">
              <w:rPr>
                <w:rFonts w:ascii="Arial" w:hAnsi="Arial" w:cs="Arial"/>
                <w:b/>
                <w:bCs/>
                <w:color w:val="FFFFFF" w:themeColor="background1"/>
                <w:sz w:val="20"/>
                <w:szCs w:val="20"/>
              </w:rPr>
              <w:t>change versus February 2022</w:t>
            </w:r>
          </w:p>
        </w:tc>
      </w:tr>
      <w:tr w:rsidR="0062209E" w14:paraId="0745706C" w14:textId="27F058D9" w:rsidTr="001557EC">
        <w:tc>
          <w:tcPr>
            <w:tcW w:w="2547" w:type="dxa"/>
          </w:tcPr>
          <w:p w14:paraId="0FF57D34" w14:textId="727AFAB9" w:rsidR="0062209E" w:rsidRDefault="0062209E" w:rsidP="00A973D5">
            <w:pPr>
              <w:rPr>
                <w:rFonts w:ascii="Arial" w:hAnsi="Arial" w:cs="Arial"/>
                <w:sz w:val="20"/>
                <w:szCs w:val="20"/>
              </w:rPr>
            </w:pPr>
            <w:r>
              <w:rPr>
                <w:rFonts w:ascii="Arial" w:hAnsi="Arial" w:cs="Arial"/>
                <w:sz w:val="20"/>
                <w:szCs w:val="20"/>
              </w:rPr>
              <w:t>Coffee &amp; sandwich shops</w:t>
            </w:r>
          </w:p>
        </w:tc>
        <w:tc>
          <w:tcPr>
            <w:tcW w:w="5386" w:type="dxa"/>
          </w:tcPr>
          <w:p w14:paraId="57D0FB4C" w14:textId="0D1FB3A8" w:rsidR="0062209E" w:rsidRDefault="0062209E" w:rsidP="0062209E">
            <w:pPr>
              <w:jc w:val="center"/>
              <w:rPr>
                <w:rFonts w:ascii="Arial" w:hAnsi="Arial" w:cs="Arial"/>
                <w:sz w:val="20"/>
                <w:szCs w:val="20"/>
              </w:rPr>
            </w:pPr>
            <w:r>
              <w:rPr>
                <w:rFonts w:ascii="Arial" w:hAnsi="Arial" w:cs="Arial"/>
                <w:sz w:val="20"/>
                <w:szCs w:val="20"/>
              </w:rPr>
              <w:t>15.7%</w:t>
            </w:r>
          </w:p>
        </w:tc>
        <w:tc>
          <w:tcPr>
            <w:tcW w:w="3686" w:type="dxa"/>
          </w:tcPr>
          <w:p w14:paraId="4A8D40DE" w14:textId="1936048B" w:rsidR="0062209E" w:rsidRDefault="0062209E" w:rsidP="0062209E">
            <w:pPr>
              <w:jc w:val="center"/>
              <w:rPr>
                <w:rFonts w:ascii="Arial" w:hAnsi="Arial" w:cs="Arial"/>
                <w:sz w:val="20"/>
                <w:szCs w:val="20"/>
              </w:rPr>
            </w:pPr>
            <w:r>
              <w:rPr>
                <w:rFonts w:ascii="Arial" w:hAnsi="Arial" w:cs="Arial"/>
                <w:sz w:val="20"/>
                <w:szCs w:val="20"/>
              </w:rPr>
              <w:t>+0.6ppts</w:t>
            </w:r>
          </w:p>
        </w:tc>
      </w:tr>
      <w:tr w:rsidR="0062209E" w14:paraId="2CD7CC98" w14:textId="27FE674B" w:rsidTr="001557EC">
        <w:tc>
          <w:tcPr>
            <w:tcW w:w="2547" w:type="dxa"/>
          </w:tcPr>
          <w:p w14:paraId="0DF6A299" w14:textId="0ADA0BAD" w:rsidR="0062209E" w:rsidRDefault="0062209E" w:rsidP="00A973D5">
            <w:pPr>
              <w:rPr>
                <w:rFonts w:ascii="Arial" w:hAnsi="Arial" w:cs="Arial"/>
                <w:sz w:val="20"/>
                <w:szCs w:val="20"/>
              </w:rPr>
            </w:pPr>
            <w:r>
              <w:rPr>
                <w:rFonts w:ascii="Arial" w:hAnsi="Arial" w:cs="Arial"/>
                <w:sz w:val="20"/>
                <w:szCs w:val="20"/>
              </w:rPr>
              <w:t>Pubs &amp; bars</w:t>
            </w:r>
          </w:p>
        </w:tc>
        <w:tc>
          <w:tcPr>
            <w:tcW w:w="5386" w:type="dxa"/>
          </w:tcPr>
          <w:p w14:paraId="49C8865F" w14:textId="24F61BB9" w:rsidR="0062209E" w:rsidRDefault="0062209E" w:rsidP="0062209E">
            <w:pPr>
              <w:jc w:val="center"/>
              <w:rPr>
                <w:rFonts w:ascii="Arial" w:hAnsi="Arial" w:cs="Arial"/>
                <w:sz w:val="20"/>
                <w:szCs w:val="20"/>
              </w:rPr>
            </w:pPr>
            <w:r>
              <w:rPr>
                <w:rFonts w:ascii="Arial" w:hAnsi="Arial" w:cs="Arial"/>
                <w:sz w:val="20"/>
                <w:szCs w:val="20"/>
              </w:rPr>
              <w:t>7.4%</w:t>
            </w:r>
          </w:p>
        </w:tc>
        <w:tc>
          <w:tcPr>
            <w:tcW w:w="3686" w:type="dxa"/>
          </w:tcPr>
          <w:p w14:paraId="65CD73EC" w14:textId="47CD2E3A" w:rsidR="0062209E" w:rsidRDefault="0062209E" w:rsidP="0062209E">
            <w:pPr>
              <w:jc w:val="center"/>
              <w:rPr>
                <w:rFonts w:ascii="Arial" w:hAnsi="Arial" w:cs="Arial"/>
                <w:sz w:val="20"/>
                <w:szCs w:val="20"/>
              </w:rPr>
            </w:pPr>
            <w:r>
              <w:rPr>
                <w:rFonts w:ascii="Arial" w:hAnsi="Arial" w:cs="Arial"/>
                <w:sz w:val="20"/>
                <w:szCs w:val="20"/>
              </w:rPr>
              <w:t>+0.5ppts</w:t>
            </w:r>
          </w:p>
        </w:tc>
      </w:tr>
      <w:tr w:rsidR="0062209E" w14:paraId="40C2D7BD" w14:textId="15E5101C" w:rsidTr="001557EC">
        <w:tc>
          <w:tcPr>
            <w:tcW w:w="2547" w:type="dxa"/>
          </w:tcPr>
          <w:p w14:paraId="6DD0B424" w14:textId="4B780AEB" w:rsidR="0062209E" w:rsidRDefault="001557EC" w:rsidP="00A973D5">
            <w:pPr>
              <w:rPr>
                <w:rFonts w:ascii="Arial" w:hAnsi="Arial" w:cs="Arial"/>
                <w:sz w:val="20"/>
                <w:szCs w:val="20"/>
              </w:rPr>
            </w:pPr>
            <w:r>
              <w:rPr>
                <w:rFonts w:ascii="Arial" w:hAnsi="Arial" w:cs="Arial"/>
                <w:sz w:val="20"/>
                <w:szCs w:val="20"/>
              </w:rPr>
              <w:t>Chain r</w:t>
            </w:r>
            <w:r w:rsidR="0062209E">
              <w:rPr>
                <w:rFonts w:ascii="Arial" w:hAnsi="Arial" w:cs="Arial"/>
                <w:sz w:val="20"/>
                <w:szCs w:val="20"/>
              </w:rPr>
              <w:t>estaurants</w:t>
            </w:r>
          </w:p>
        </w:tc>
        <w:tc>
          <w:tcPr>
            <w:tcW w:w="5386" w:type="dxa"/>
          </w:tcPr>
          <w:p w14:paraId="7A9BA982" w14:textId="252722EC" w:rsidR="0062209E" w:rsidRDefault="0062209E" w:rsidP="0062209E">
            <w:pPr>
              <w:jc w:val="center"/>
              <w:rPr>
                <w:rFonts w:ascii="Arial" w:hAnsi="Arial" w:cs="Arial"/>
                <w:sz w:val="20"/>
                <w:szCs w:val="20"/>
              </w:rPr>
            </w:pPr>
            <w:r>
              <w:rPr>
                <w:rFonts w:ascii="Arial" w:hAnsi="Arial" w:cs="Arial"/>
                <w:sz w:val="20"/>
                <w:szCs w:val="20"/>
              </w:rPr>
              <w:t>1.7%</w:t>
            </w:r>
          </w:p>
        </w:tc>
        <w:tc>
          <w:tcPr>
            <w:tcW w:w="3686" w:type="dxa"/>
          </w:tcPr>
          <w:p w14:paraId="0FA7C0D1" w14:textId="48722162" w:rsidR="0062209E" w:rsidRDefault="0062209E" w:rsidP="0062209E">
            <w:pPr>
              <w:jc w:val="center"/>
              <w:rPr>
                <w:rFonts w:ascii="Arial" w:hAnsi="Arial" w:cs="Arial"/>
                <w:sz w:val="20"/>
                <w:szCs w:val="20"/>
              </w:rPr>
            </w:pPr>
            <w:r>
              <w:rPr>
                <w:rFonts w:ascii="Arial" w:hAnsi="Arial" w:cs="Arial"/>
                <w:sz w:val="20"/>
                <w:szCs w:val="20"/>
              </w:rPr>
              <w:t>+0.2ppts</w:t>
            </w:r>
          </w:p>
        </w:tc>
      </w:tr>
      <w:tr w:rsidR="0062209E" w14:paraId="6BADA01E" w14:textId="319CBFB5" w:rsidTr="001557EC">
        <w:tc>
          <w:tcPr>
            <w:tcW w:w="2547" w:type="dxa"/>
          </w:tcPr>
          <w:p w14:paraId="0DDB3CB7" w14:textId="4A97953C" w:rsidR="0062209E" w:rsidRDefault="0062209E" w:rsidP="00A973D5">
            <w:pPr>
              <w:rPr>
                <w:rFonts w:ascii="Arial" w:hAnsi="Arial" w:cs="Arial"/>
                <w:sz w:val="20"/>
                <w:szCs w:val="20"/>
              </w:rPr>
            </w:pPr>
            <w:r>
              <w:rPr>
                <w:rFonts w:ascii="Arial" w:hAnsi="Arial" w:cs="Arial"/>
                <w:sz w:val="20"/>
                <w:szCs w:val="20"/>
              </w:rPr>
              <w:t>QSR</w:t>
            </w:r>
          </w:p>
        </w:tc>
        <w:tc>
          <w:tcPr>
            <w:tcW w:w="5386" w:type="dxa"/>
          </w:tcPr>
          <w:p w14:paraId="2EB4DDCC" w14:textId="11FF03C5" w:rsidR="0062209E" w:rsidRDefault="0062209E" w:rsidP="0062209E">
            <w:pPr>
              <w:jc w:val="center"/>
              <w:rPr>
                <w:rFonts w:ascii="Arial" w:hAnsi="Arial" w:cs="Arial"/>
                <w:sz w:val="20"/>
                <w:szCs w:val="20"/>
              </w:rPr>
            </w:pPr>
            <w:r>
              <w:rPr>
                <w:rFonts w:ascii="Arial" w:hAnsi="Arial" w:cs="Arial"/>
                <w:sz w:val="20"/>
                <w:szCs w:val="20"/>
              </w:rPr>
              <w:t>1.4%</w:t>
            </w:r>
          </w:p>
        </w:tc>
        <w:tc>
          <w:tcPr>
            <w:tcW w:w="3686" w:type="dxa"/>
          </w:tcPr>
          <w:p w14:paraId="65735BEB" w14:textId="298F21AE" w:rsidR="0062209E" w:rsidRDefault="0062209E" w:rsidP="0062209E">
            <w:pPr>
              <w:jc w:val="center"/>
              <w:rPr>
                <w:rFonts w:ascii="Arial" w:hAnsi="Arial" w:cs="Arial"/>
                <w:sz w:val="20"/>
                <w:szCs w:val="20"/>
              </w:rPr>
            </w:pPr>
            <w:r>
              <w:rPr>
                <w:rFonts w:ascii="Arial" w:hAnsi="Arial" w:cs="Arial"/>
                <w:sz w:val="20"/>
                <w:szCs w:val="20"/>
              </w:rPr>
              <w:t>+0.2ppts</w:t>
            </w:r>
          </w:p>
        </w:tc>
      </w:tr>
    </w:tbl>
    <w:p w14:paraId="76EEDFC7" w14:textId="16178BD6" w:rsidR="0062209E" w:rsidRDefault="0062209E" w:rsidP="00A973D5">
      <w:pPr>
        <w:rPr>
          <w:rFonts w:ascii="Arial" w:hAnsi="Arial" w:cs="Arial"/>
          <w:sz w:val="20"/>
          <w:szCs w:val="20"/>
        </w:rPr>
      </w:pPr>
    </w:p>
    <w:p w14:paraId="4100E9B7" w14:textId="63D05D30" w:rsidR="00946C1D" w:rsidRPr="00946C1D" w:rsidRDefault="00946C1D" w:rsidP="00A973D5">
      <w:pPr>
        <w:rPr>
          <w:rFonts w:ascii="Arial" w:hAnsi="Arial" w:cs="Arial"/>
          <w:b/>
          <w:bCs/>
          <w:sz w:val="20"/>
          <w:szCs w:val="20"/>
        </w:rPr>
      </w:pPr>
      <w:r w:rsidRPr="00946C1D">
        <w:rPr>
          <w:rFonts w:ascii="Arial" w:hAnsi="Arial" w:cs="Arial"/>
          <w:b/>
          <w:bCs/>
          <w:sz w:val="20"/>
          <w:szCs w:val="20"/>
        </w:rPr>
        <w:t>Sandwich prices see modest increase versus overall average price increase</w:t>
      </w:r>
    </w:p>
    <w:p w14:paraId="205C5A06" w14:textId="579D1A25" w:rsidR="001557EC" w:rsidRDefault="001557EC" w:rsidP="00A973D5">
      <w:pPr>
        <w:rPr>
          <w:rFonts w:ascii="Arial" w:hAnsi="Arial" w:cs="Arial"/>
          <w:sz w:val="20"/>
          <w:szCs w:val="20"/>
        </w:rPr>
      </w:pPr>
      <w:r>
        <w:rPr>
          <w:rFonts w:ascii="Arial" w:hAnsi="Arial" w:cs="Arial"/>
          <w:sz w:val="20"/>
          <w:szCs w:val="20"/>
        </w:rPr>
        <w:t>The average price of sandwiches across these channels is:</w:t>
      </w:r>
    </w:p>
    <w:tbl>
      <w:tblPr>
        <w:tblStyle w:val="TableGrid"/>
        <w:tblW w:w="0" w:type="auto"/>
        <w:tblLook w:val="04A0" w:firstRow="1" w:lastRow="0" w:firstColumn="1" w:lastColumn="0" w:noHBand="0" w:noVBand="1"/>
      </w:tblPr>
      <w:tblGrid>
        <w:gridCol w:w="2501"/>
        <w:gridCol w:w="3194"/>
        <w:gridCol w:w="3321"/>
      </w:tblGrid>
      <w:tr w:rsidR="001557EC" w14:paraId="071AA765" w14:textId="77777777" w:rsidTr="00946C1D">
        <w:tc>
          <w:tcPr>
            <w:tcW w:w="2547" w:type="dxa"/>
            <w:shd w:val="clear" w:color="auto" w:fill="323E4F" w:themeFill="text2" w:themeFillShade="BF"/>
          </w:tcPr>
          <w:p w14:paraId="67E1FE22" w14:textId="77777777" w:rsidR="001557EC" w:rsidRPr="0062209E" w:rsidRDefault="001557EC" w:rsidP="00A7214A">
            <w:pPr>
              <w:rPr>
                <w:rFonts w:ascii="Arial" w:hAnsi="Arial" w:cs="Arial"/>
                <w:b/>
                <w:bCs/>
                <w:color w:val="FFFFFF" w:themeColor="background1"/>
                <w:sz w:val="20"/>
                <w:szCs w:val="20"/>
              </w:rPr>
            </w:pPr>
            <w:r w:rsidRPr="0062209E">
              <w:rPr>
                <w:rFonts w:ascii="Arial" w:hAnsi="Arial" w:cs="Arial"/>
                <w:b/>
                <w:bCs/>
                <w:color w:val="FFFFFF" w:themeColor="background1"/>
                <w:sz w:val="20"/>
                <w:szCs w:val="20"/>
              </w:rPr>
              <w:t>Channel</w:t>
            </w:r>
          </w:p>
        </w:tc>
        <w:tc>
          <w:tcPr>
            <w:tcW w:w="3260" w:type="dxa"/>
            <w:shd w:val="clear" w:color="auto" w:fill="323E4F" w:themeFill="text2" w:themeFillShade="BF"/>
          </w:tcPr>
          <w:p w14:paraId="63DF5184" w14:textId="67FA370F" w:rsidR="001557EC" w:rsidRPr="0062209E" w:rsidRDefault="001557EC" w:rsidP="00A7214A">
            <w:pPr>
              <w:rPr>
                <w:rFonts w:ascii="Arial" w:hAnsi="Arial" w:cs="Arial"/>
                <w:b/>
                <w:bCs/>
                <w:color w:val="FFFFFF" w:themeColor="background1"/>
                <w:sz w:val="20"/>
                <w:szCs w:val="20"/>
              </w:rPr>
            </w:pPr>
            <w:r>
              <w:rPr>
                <w:rFonts w:ascii="Arial" w:hAnsi="Arial" w:cs="Arial"/>
                <w:b/>
                <w:bCs/>
                <w:color w:val="FFFFFF" w:themeColor="background1"/>
                <w:sz w:val="20"/>
                <w:szCs w:val="20"/>
              </w:rPr>
              <w:t>Average price of sandwiches</w:t>
            </w:r>
          </w:p>
        </w:tc>
        <w:tc>
          <w:tcPr>
            <w:tcW w:w="3402" w:type="dxa"/>
            <w:shd w:val="clear" w:color="auto" w:fill="323E4F" w:themeFill="text2" w:themeFillShade="BF"/>
          </w:tcPr>
          <w:p w14:paraId="094715C4" w14:textId="77777777" w:rsidR="001557EC" w:rsidRPr="0062209E" w:rsidRDefault="001557EC" w:rsidP="00A7214A">
            <w:pPr>
              <w:rPr>
                <w:rFonts w:ascii="Arial" w:hAnsi="Arial" w:cs="Arial"/>
                <w:b/>
                <w:bCs/>
                <w:color w:val="FFFFFF" w:themeColor="background1"/>
                <w:sz w:val="20"/>
                <w:szCs w:val="20"/>
              </w:rPr>
            </w:pPr>
            <w:r w:rsidRPr="0062209E">
              <w:rPr>
                <w:rFonts w:ascii="Arial" w:hAnsi="Arial" w:cs="Arial"/>
                <w:b/>
                <w:bCs/>
                <w:color w:val="FFFFFF" w:themeColor="background1"/>
                <w:sz w:val="20"/>
                <w:szCs w:val="20"/>
              </w:rPr>
              <w:t>% change versus February 2022</w:t>
            </w:r>
          </w:p>
        </w:tc>
      </w:tr>
      <w:tr w:rsidR="001557EC" w14:paraId="0922093E" w14:textId="77777777" w:rsidTr="00946C1D">
        <w:tc>
          <w:tcPr>
            <w:tcW w:w="2547" w:type="dxa"/>
          </w:tcPr>
          <w:p w14:paraId="24948118" w14:textId="77777777" w:rsidR="001557EC" w:rsidRDefault="001557EC" w:rsidP="00A7214A">
            <w:pPr>
              <w:rPr>
                <w:rFonts w:ascii="Arial" w:hAnsi="Arial" w:cs="Arial"/>
                <w:sz w:val="20"/>
                <w:szCs w:val="20"/>
              </w:rPr>
            </w:pPr>
            <w:r>
              <w:rPr>
                <w:rFonts w:ascii="Arial" w:hAnsi="Arial" w:cs="Arial"/>
                <w:sz w:val="20"/>
                <w:szCs w:val="20"/>
              </w:rPr>
              <w:t>Coffee &amp; sandwich shops</w:t>
            </w:r>
          </w:p>
        </w:tc>
        <w:tc>
          <w:tcPr>
            <w:tcW w:w="3260" w:type="dxa"/>
          </w:tcPr>
          <w:p w14:paraId="7029406B" w14:textId="19625D69" w:rsidR="001557EC" w:rsidRDefault="001557EC" w:rsidP="00A7214A">
            <w:pPr>
              <w:jc w:val="center"/>
              <w:rPr>
                <w:rFonts w:ascii="Arial" w:hAnsi="Arial" w:cs="Arial"/>
                <w:sz w:val="20"/>
                <w:szCs w:val="20"/>
              </w:rPr>
            </w:pPr>
            <w:r>
              <w:rPr>
                <w:rFonts w:ascii="Arial" w:hAnsi="Arial" w:cs="Arial"/>
                <w:sz w:val="20"/>
                <w:szCs w:val="20"/>
              </w:rPr>
              <w:t>£3.57</w:t>
            </w:r>
          </w:p>
        </w:tc>
        <w:tc>
          <w:tcPr>
            <w:tcW w:w="3402" w:type="dxa"/>
          </w:tcPr>
          <w:p w14:paraId="79994CBE" w14:textId="0D2C988D" w:rsidR="001557EC" w:rsidRDefault="001557EC" w:rsidP="00A7214A">
            <w:pPr>
              <w:jc w:val="center"/>
              <w:rPr>
                <w:rFonts w:ascii="Arial" w:hAnsi="Arial" w:cs="Arial"/>
                <w:sz w:val="20"/>
                <w:szCs w:val="20"/>
              </w:rPr>
            </w:pPr>
            <w:r>
              <w:rPr>
                <w:rFonts w:ascii="Arial" w:hAnsi="Arial" w:cs="Arial"/>
                <w:sz w:val="20"/>
                <w:szCs w:val="20"/>
              </w:rPr>
              <w:t>+2.3%</w:t>
            </w:r>
          </w:p>
        </w:tc>
      </w:tr>
      <w:tr w:rsidR="001557EC" w14:paraId="5EBD6DF4" w14:textId="77777777" w:rsidTr="00946C1D">
        <w:tc>
          <w:tcPr>
            <w:tcW w:w="2547" w:type="dxa"/>
          </w:tcPr>
          <w:p w14:paraId="79C93882" w14:textId="77777777" w:rsidR="001557EC" w:rsidRDefault="001557EC" w:rsidP="00A7214A">
            <w:pPr>
              <w:rPr>
                <w:rFonts w:ascii="Arial" w:hAnsi="Arial" w:cs="Arial"/>
                <w:sz w:val="20"/>
                <w:szCs w:val="20"/>
              </w:rPr>
            </w:pPr>
            <w:r>
              <w:rPr>
                <w:rFonts w:ascii="Arial" w:hAnsi="Arial" w:cs="Arial"/>
                <w:sz w:val="20"/>
                <w:szCs w:val="20"/>
              </w:rPr>
              <w:t>Pubs &amp; bars</w:t>
            </w:r>
          </w:p>
        </w:tc>
        <w:tc>
          <w:tcPr>
            <w:tcW w:w="3260" w:type="dxa"/>
          </w:tcPr>
          <w:p w14:paraId="3789BAC7" w14:textId="11B02DBB" w:rsidR="001557EC" w:rsidRDefault="001557EC" w:rsidP="00A7214A">
            <w:pPr>
              <w:jc w:val="center"/>
              <w:rPr>
                <w:rFonts w:ascii="Arial" w:hAnsi="Arial" w:cs="Arial"/>
                <w:sz w:val="20"/>
                <w:szCs w:val="20"/>
              </w:rPr>
            </w:pPr>
            <w:r>
              <w:rPr>
                <w:rFonts w:ascii="Arial" w:hAnsi="Arial" w:cs="Arial"/>
                <w:sz w:val="20"/>
                <w:szCs w:val="20"/>
              </w:rPr>
              <w:t>£6.68</w:t>
            </w:r>
          </w:p>
        </w:tc>
        <w:tc>
          <w:tcPr>
            <w:tcW w:w="3402" w:type="dxa"/>
          </w:tcPr>
          <w:p w14:paraId="39CF3F55" w14:textId="6414F03F" w:rsidR="001557EC" w:rsidRDefault="001557EC" w:rsidP="00A7214A">
            <w:pPr>
              <w:jc w:val="center"/>
              <w:rPr>
                <w:rFonts w:ascii="Arial" w:hAnsi="Arial" w:cs="Arial"/>
                <w:sz w:val="20"/>
                <w:szCs w:val="20"/>
              </w:rPr>
            </w:pPr>
            <w:r>
              <w:rPr>
                <w:rFonts w:ascii="Arial" w:hAnsi="Arial" w:cs="Arial"/>
                <w:sz w:val="20"/>
                <w:szCs w:val="20"/>
              </w:rPr>
              <w:t>-3.0%</w:t>
            </w:r>
          </w:p>
        </w:tc>
      </w:tr>
      <w:tr w:rsidR="001557EC" w14:paraId="7759A0FB" w14:textId="77777777" w:rsidTr="00946C1D">
        <w:tc>
          <w:tcPr>
            <w:tcW w:w="2547" w:type="dxa"/>
          </w:tcPr>
          <w:p w14:paraId="24300DD2" w14:textId="208BDE83" w:rsidR="001557EC" w:rsidRDefault="001557EC" w:rsidP="00A7214A">
            <w:pPr>
              <w:rPr>
                <w:rFonts w:ascii="Arial" w:hAnsi="Arial" w:cs="Arial"/>
                <w:sz w:val="20"/>
                <w:szCs w:val="20"/>
              </w:rPr>
            </w:pPr>
            <w:r>
              <w:rPr>
                <w:rFonts w:ascii="Arial" w:hAnsi="Arial" w:cs="Arial"/>
                <w:sz w:val="20"/>
                <w:szCs w:val="20"/>
              </w:rPr>
              <w:t>Chain restaurants</w:t>
            </w:r>
          </w:p>
        </w:tc>
        <w:tc>
          <w:tcPr>
            <w:tcW w:w="3260" w:type="dxa"/>
          </w:tcPr>
          <w:p w14:paraId="628F0582" w14:textId="3940248D" w:rsidR="001557EC" w:rsidRDefault="001557EC" w:rsidP="00A7214A">
            <w:pPr>
              <w:jc w:val="center"/>
              <w:rPr>
                <w:rFonts w:ascii="Arial" w:hAnsi="Arial" w:cs="Arial"/>
                <w:sz w:val="20"/>
                <w:szCs w:val="20"/>
              </w:rPr>
            </w:pPr>
            <w:r>
              <w:rPr>
                <w:rFonts w:ascii="Arial" w:hAnsi="Arial" w:cs="Arial"/>
                <w:sz w:val="20"/>
                <w:szCs w:val="20"/>
              </w:rPr>
              <w:t>£9.06</w:t>
            </w:r>
          </w:p>
        </w:tc>
        <w:tc>
          <w:tcPr>
            <w:tcW w:w="3402" w:type="dxa"/>
          </w:tcPr>
          <w:p w14:paraId="23D32C5D" w14:textId="7DF0ABB9" w:rsidR="001557EC" w:rsidRDefault="001557EC" w:rsidP="00A7214A">
            <w:pPr>
              <w:jc w:val="center"/>
              <w:rPr>
                <w:rFonts w:ascii="Arial" w:hAnsi="Arial" w:cs="Arial"/>
                <w:sz w:val="20"/>
                <w:szCs w:val="20"/>
              </w:rPr>
            </w:pPr>
            <w:r>
              <w:rPr>
                <w:rFonts w:ascii="Arial" w:hAnsi="Arial" w:cs="Arial"/>
                <w:sz w:val="20"/>
                <w:szCs w:val="20"/>
              </w:rPr>
              <w:t>+2.1%</w:t>
            </w:r>
          </w:p>
        </w:tc>
      </w:tr>
      <w:tr w:rsidR="001557EC" w14:paraId="782D0CC6" w14:textId="77777777" w:rsidTr="00946C1D">
        <w:tc>
          <w:tcPr>
            <w:tcW w:w="2547" w:type="dxa"/>
          </w:tcPr>
          <w:p w14:paraId="4481BC0A" w14:textId="77777777" w:rsidR="001557EC" w:rsidRDefault="001557EC" w:rsidP="00A7214A">
            <w:pPr>
              <w:rPr>
                <w:rFonts w:ascii="Arial" w:hAnsi="Arial" w:cs="Arial"/>
                <w:sz w:val="20"/>
                <w:szCs w:val="20"/>
              </w:rPr>
            </w:pPr>
            <w:r>
              <w:rPr>
                <w:rFonts w:ascii="Arial" w:hAnsi="Arial" w:cs="Arial"/>
                <w:sz w:val="20"/>
                <w:szCs w:val="20"/>
              </w:rPr>
              <w:t>QSR</w:t>
            </w:r>
          </w:p>
        </w:tc>
        <w:tc>
          <w:tcPr>
            <w:tcW w:w="3260" w:type="dxa"/>
          </w:tcPr>
          <w:p w14:paraId="4017930A" w14:textId="6448AADE" w:rsidR="001557EC" w:rsidRDefault="001557EC" w:rsidP="00A7214A">
            <w:pPr>
              <w:jc w:val="center"/>
              <w:rPr>
                <w:rFonts w:ascii="Arial" w:hAnsi="Arial" w:cs="Arial"/>
                <w:sz w:val="20"/>
                <w:szCs w:val="20"/>
              </w:rPr>
            </w:pPr>
            <w:r>
              <w:rPr>
                <w:rFonts w:ascii="Arial" w:hAnsi="Arial" w:cs="Arial"/>
                <w:sz w:val="20"/>
                <w:szCs w:val="20"/>
              </w:rPr>
              <w:t>£5.56</w:t>
            </w:r>
          </w:p>
        </w:tc>
        <w:tc>
          <w:tcPr>
            <w:tcW w:w="3402" w:type="dxa"/>
          </w:tcPr>
          <w:p w14:paraId="6370C471" w14:textId="1F2A6173" w:rsidR="001557EC" w:rsidRDefault="001557EC" w:rsidP="00A7214A">
            <w:pPr>
              <w:jc w:val="center"/>
              <w:rPr>
                <w:rFonts w:ascii="Arial" w:hAnsi="Arial" w:cs="Arial"/>
                <w:sz w:val="20"/>
                <w:szCs w:val="20"/>
              </w:rPr>
            </w:pPr>
            <w:r>
              <w:rPr>
                <w:rFonts w:ascii="Arial" w:hAnsi="Arial" w:cs="Arial"/>
                <w:sz w:val="20"/>
                <w:szCs w:val="20"/>
              </w:rPr>
              <w:t>+5.3%</w:t>
            </w:r>
          </w:p>
        </w:tc>
      </w:tr>
    </w:tbl>
    <w:p w14:paraId="540F0E63" w14:textId="77777777" w:rsidR="001557EC" w:rsidRDefault="001557EC" w:rsidP="00A973D5">
      <w:pPr>
        <w:rPr>
          <w:rFonts w:ascii="Arial" w:hAnsi="Arial" w:cs="Arial"/>
          <w:sz w:val="20"/>
          <w:szCs w:val="20"/>
        </w:rPr>
      </w:pPr>
    </w:p>
    <w:p w14:paraId="71F05C1F" w14:textId="65785A9B" w:rsidR="0062209E" w:rsidRDefault="001557EC" w:rsidP="00A973D5">
      <w:pPr>
        <w:rPr>
          <w:rFonts w:ascii="Arial" w:hAnsi="Arial" w:cs="Arial"/>
          <w:sz w:val="20"/>
          <w:szCs w:val="20"/>
        </w:rPr>
      </w:pPr>
      <w:r>
        <w:rPr>
          <w:rFonts w:ascii="Arial" w:hAnsi="Arial" w:cs="Arial"/>
          <w:sz w:val="20"/>
          <w:szCs w:val="20"/>
        </w:rPr>
        <w:t>On average, main dishes across all channels have risen by +5.8%, indicating that the price of sandwiches has seen a modest increase in comparison, except from within the pub &amp; bar channel where the price has fallen.</w:t>
      </w:r>
    </w:p>
    <w:p w14:paraId="5538D2A9" w14:textId="6530863A" w:rsidR="001557EC" w:rsidRPr="00946C1D" w:rsidRDefault="00946C1D" w:rsidP="00A973D5">
      <w:pPr>
        <w:rPr>
          <w:rFonts w:ascii="Arial" w:hAnsi="Arial" w:cs="Arial"/>
          <w:b/>
          <w:bCs/>
          <w:sz w:val="20"/>
          <w:szCs w:val="20"/>
        </w:rPr>
      </w:pPr>
      <w:r w:rsidRPr="00946C1D">
        <w:rPr>
          <w:rFonts w:ascii="Arial" w:hAnsi="Arial" w:cs="Arial"/>
          <w:b/>
          <w:bCs/>
          <w:sz w:val="20"/>
          <w:szCs w:val="20"/>
        </w:rPr>
        <w:t>Sandwich calorie counts increase by 17%</w:t>
      </w:r>
    </w:p>
    <w:p w14:paraId="119A55C3" w14:textId="7D48F2BA" w:rsidR="00946C1D" w:rsidRDefault="00946C1D" w:rsidP="00A973D5">
      <w:pPr>
        <w:rPr>
          <w:rFonts w:ascii="Arial" w:hAnsi="Arial" w:cs="Arial"/>
          <w:sz w:val="20"/>
          <w:szCs w:val="20"/>
        </w:rPr>
      </w:pPr>
      <w:r>
        <w:rPr>
          <w:rFonts w:ascii="Arial" w:hAnsi="Arial" w:cs="Arial"/>
          <w:sz w:val="20"/>
          <w:szCs w:val="20"/>
        </w:rPr>
        <w:t xml:space="preserve">On average, sandwiches listed on menus in March 2022 contain 580 calories, versus 497 in February. </w:t>
      </w:r>
    </w:p>
    <w:tbl>
      <w:tblPr>
        <w:tblStyle w:val="TableGrid"/>
        <w:tblW w:w="0" w:type="auto"/>
        <w:tblLook w:val="04A0" w:firstRow="1" w:lastRow="0" w:firstColumn="1" w:lastColumn="0" w:noHBand="0" w:noVBand="1"/>
      </w:tblPr>
      <w:tblGrid>
        <w:gridCol w:w="2547"/>
        <w:gridCol w:w="3260"/>
      </w:tblGrid>
      <w:tr w:rsidR="00946C1D" w14:paraId="62F1B93C" w14:textId="77777777" w:rsidTr="00946C1D">
        <w:tc>
          <w:tcPr>
            <w:tcW w:w="2547" w:type="dxa"/>
            <w:shd w:val="clear" w:color="auto" w:fill="323E4F" w:themeFill="text2" w:themeFillShade="BF"/>
          </w:tcPr>
          <w:p w14:paraId="0088909B" w14:textId="77777777" w:rsidR="00946C1D" w:rsidRPr="0062209E" w:rsidRDefault="00946C1D" w:rsidP="00A7214A">
            <w:pPr>
              <w:rPr>
                <w:rFonts w:ascii="Arial" w:hAnsi="Arial" w:cs="Arial"/>
                <w:b/>
                <w:bCs/>
                <w:color w:val="FFFFFF" w:themeColor="background1"/>
                <w:sz w:val="20"/>
                <w:szCs w:val="20"/>
              </w:rPr>
            </w:pPr>
            <w:r w:rsidRPr="0062209E">
              <w:rPr>
                <w:rFonts w:ascii="Arial" w:hAnsi="Arial" w:cs="Arial"/>
                <w:b/>
                <w:bCs/>
                <w:color w:val="FFFFFF" w:themeColor="background1"/>
                <w:sz w:val="20"/>
                <w:szCs w:val="20"/>
              </w:rPr>
              <w:t>Channel</w:t>
            </w:r>
          </w:p>
        </w:tc>
        <w:tc>
          <w:tcPr>
            <w:tcW w:w="3260" w:type="dxa"/>
            <w:shd w:val="clear" w:color="auto" w:fill="323E4F" w:themeFill="text2" w:themeFillShade="BF"/>
          </w:tcPr>
          <w:p w14:paraId="12203638" w14:textId="58F0727F" w:rsidR="00946C1D" w:rsidRPr="0062209E" w:rsidRDefault="00946C1D" w:rsidP="00A7214A">
            <w:pPr>
              <w:rPr>
                <w:rFonts w:ascii="Arial" w:hAnsi="Arial" w:cs="Arial"/>
                <w:b/>
                <w:bCs/>
                <w:color w:val="FFFFFF" w:themeColor="background1"/>
                <w:sz w:val="20"/>
                <w:szCs w:val="20"/>
              </w:rPr>
            </w:pPr>
            <w:r>
              <w:rPr>
                <w:rFonts w:ascii="Arial" w:hAnsi="Arial" w:cs="Arial"/>
                <w:b/>
                <w:bCs/>
                <w:color w:val="FFFFFF" w:themeColor="background1"/>
                <w:sz w:val="20"/>
                <w:szCs w:val="20"/>
              </w:rPr>
              <w:t>Average calorie per sandwich</w:t>
            </w:r>
          </w:p>
        </w:tc>
      </w:tr>
      <w:tr w:rsidR="00946C1D" w14:paraId="14869C43" w14:textId="77777777" w:rsidTr="00946C1D">
        <w:tc>
          <w:tcPr>
            <w:tcW w:w="2547" w:type="dxa"/>
          </w:tcPr>
          <w:p w14:paraId="6E5C103B" w14:textId="77777777" w:rsidR="00946C1D" w:rsidRDefault="00946C1D" w:rsidP="00A7214A">
            <w:pPr>
              <w:rPr>
                <w:rFonts w:ascii="Arial" w:hAnsi="Arial" w:cs="Arial"/>
                <w:sz w:val="20"/>
                <w:szCs w:val="20"/>
              </w:rPr>
            </w:pPr>
            <w:r>
              <w:rPr>
                <w:rFonts w:ascii="Arial" w:hAnsi="Arial" w:cs="Arial"/>
                <w:sz w:val="20"/>
                <w:szCs w:val="20"/>
              </w:rPr>
              <w:t>Coffee &amp; sandwich shops</w:t>
            </w:r>
          </w:p>
        </w:tc>
        <w:tc>
          <w:tcPr>
            <w:tcW w:w="3260" w:type="dxa"/>
          </w:tcPr>
          <w:p w14:paraId="5CE794AD" w14:textId="73768707" w:rsidR="00946C1D" w:rsidRDefault="00946C1D" w:rsidP="00A7214A">
            <w:pPr>
              <w:jc w:val="center"/>
              <w:rPr>
                <w:rFonts w:ascii="Arial" w:hAnsi="Arial" w:cs="Arial"/>
                <w:sz w:val="20"/>
                <w:szCs w:val="20"/>
              </w:rPr>
            </w:pPr>
            <w:r>
              <w:rPr>
                <w:rFonts w:ascii="Arial" w:hAnsi="Arial" w:cs="Arial"/>
                <w:sz w:val="20"/>
                <w:szCs w:val="20"/>
              </w:rPr>
              <w:t>412</w:t>
            </w:r>
          </w:p>
        </w:tc>
      </w:tr>
      <w:tr w:rsidR="00946C1D" w14:paraId="5FA075E6" w14:textId="77777777" w:rsidTr="00946C1D">
        <w:tc>
          <w:tcPr>
            <w:tcW w:w="2547" w:type="dxa"/>
          </w:tcPr>
          <w:p w14:paraId="0B256A45" w14:textId="77777777" w:rsidR="00946C1D" w:rsidRDefault="00946C1D" w:rsidP="00A7214A">
            <w:pPr>
              <w:rPr>
                <w:rFonts w:ascii="Arial" w:hAnsi="Arial" w:cs="Arial"/>
                <w:sz w:val="20"/>
                <w:szCs w:val="20"/>
              </w:rPr>
            </w:pPr>
            <w:r>
              <w:rPr>
                <w:rFonts w:ascii="Arial" w:hAnsi="Arial" w:cs="Arial"/>
                <w:sz w:val="20"/>
                <w:szCs w:val="20"/>
              </w:rPr>
              <w:t>Pubs &amp; bars</w:t>
            </w:r>
          </w:p>
        </w:tc>
        <w:tc>
          <w:tcPr>
            <w:tcW w:w="3260" w:type="dxa"/>
          </w:tcPr>
          <w:p w14:paraId="356A87D3" w14:textId="1C378D8A" w:rsidR="00946C1D" w:rsidRDefault="00946C1D" w:rsidP="00A7214A">
            <w:pPr>
              <w:jc w:val="center"/>
              <w:rPr>
                <w:rFonts w:ascii="Arial" w:hAnsi="Arial" w:cs="Arial"/>
                <w:sz w:val="20"/>
                <w:szCs w:val="20"/>
              </w:rPr>
            </w:pPr>
            <w:r>
              <w:rPr>
                <w:rFonts w:ascii="Arial" w:hAnsi="Arial" w:cs="Arial"/>
                <w:sz w:val="20"/>
                <w:szCs w:val="20"/>
              </w:rPr>
              <w:t>875</w:t>
            </w:r>
          </w:p>
        </w:tc>
      </w:tr>
      <w:tr w:rsidR="00946C1D" w14:paraId="73876816" w14:textId="77777777" w:rsidTr="00946C1D">
        <w:tc>
          <w:tcPr>
            <w:tcW w:w="2547" w:type="dxa"/>
          </w:tcPr>
          <w:p w14:paraId="29D7D58B" w14:textId="77777777" w:rsidR="00946C1D" w:rsidRDefault="00946C1D" w:rsidP="00A7214A">
            <w:pPr>
              <w:rPr>
                <w:rFonts w:ascii="Arial" w:hAnsi="Arial" w:cs="Arial"/>
                <w:sz w:val="20"/>
                <w:szCs w:val="20"/>
              </w:rPr>
            </w:pPr>
            <w:r>
              <w:rPr>
                <w:rFonts w:ascii="Arial" w:hAnsi="Arial" w:cs="Arial"/>
                <w:sz w:val="20"/>
                <w:szCs w:val="20"/>
              </w:rPr>
              <w:t>Chain restaurants</w:t>
            </w:r>
          </w:p>
        </w:tc>
        <w:tc>
          <w:tcPr>
            <w:tcW w:w="3260" w:type="dxa"/>
          </w:tcPr>
          <w:p w14:paraId="5827F8EE" w14:textId="4DB40034" w:rsidR="00946C1D" w:rsidRDefault="00946C1D" w:rsidP="00A7214A">
            <w:pPr>
              <w:jc w:val="center"/>
              <w:rPr>
                <w:rFonts w:ascii="Arial" w:hAnsi="Arial" w:cs="Arial"/>
                <w:sz w:val="20"/>
                <w:szCs w:val="20"/>
              </w:rPr>
            </w:pPr>
            <w:r>
              <w:rPr>
                <w:rFonts w:ascii="Arial" w:hAnsi="Arial" w:cs="Arial"/>
                <w:sz w:val="20"/>
                <w:szCs w:val="20"/>
              </w:rPr>
              <w:t>476</w:t>
            </w:r>
          </w:p>
        </w:tc>
      </w:tr>
      <w:tr w:rsidR="00946C1D" w14:paraId="00EA635B" w14:textId="77777777" w:rsidTr="00946C1D">
        <w:tc>
          <w:tcPr>
            <w:tcW w:w="2547" w:type="dxa"/>
          </w:tcPr>
          <w:p w14:paraId="2CB10BA7" w14:textId="77777777" w:rsidR="00946C1D" w:rsidRDefault="00946C1D" w:rsidP="00A7214A">
            <w:pPr>
              <w:rPr>
                <w:rFonts w:ascii="Arial" w:hAnsi="Arial" w:cs="Arial"/>
                <w:sz w:val="20"/>
                <w:szCs w:val="20"/>
              </w:rPr>
            </w:pPr>
            <w:r>
              <w:rPr>
                <w:rFonts w:ascii="Arial" w:hAnsi="Arial" w:cs="Arial"/>
                <w:sz w:val="20"/>
                <w:szCs w:val="20"/>
              </w:rPr>
              <w:t>QSR</w:t>
            </w:r>
          </w:p>
        </w:tc>
        <w:tc>
          <w:tcPr>
            <w:tcW w:w="3260" w:type="dxa"/>
          </w:tcPr>
          <w:p w14:paraId="1F18E2A8" w14:textId="14BD920E" w:rsidR="00946C1D" w:rsidRDefault="00946C1D" w:rsidP="00A7214A">
            <w:pPr>
              <w:jc w:val="center"/>
              <w:rPr>
                <w:rFonts w:ascii="Arial" w:hAnsi="Arial" w:cs="Arial"/>
                <w:sz w:val="20"/>
                <w:szCs w:val="20"/>
              </w:rPr>
            </w:pPr>
            <w:r>
              <w:rPr>
                <w:rFonts w:ascii="Arial" w:hAnsi="Arial" w:cs="Arial"/>
                <w:sz w:val="20"/>
                <w:szCs w:val="20"/>
              </w:rPr>
              <w:t>556</w:t>
            </w:r>
          </w:p>
        </w:tc>
      </w:tr>
    </w:tbl>
    <w:p w14:paraId="63995D25" w14:textId="77777777" w:rsidR="00946C1D" w:rsidRDefault="00946C1D" w:rsidP="00A973D5">
      <w:pPr>
        <w:rPr>
          <w:rFonts w:ascii="Arial" w:hAnsi="Arial" w:cs="Arial"/>
          <w:sz w:val="20"/>
          <w:szCs w:val="20"/>
        </w:rPr>
      </w:pPr>
    </w:p>
    <w:p w14:paraId="2DFB4274" w14:textId="638C1F2C" w:rsidR="001557EC" w:rsidRDefault="00946C1D" w:rsidP="00A973D5">
      <w:pPr>
        <w:rPr>
          <w:rFonts w:ascii="Arial" w:hAnsi="Arial" w:cs="Arial"/>
          <w:sz w:val="20"/>
          <w:szCs w:val="20"/>
        </w:rPr>
      </w:pPr>
      <w:r>
        <w:rPr>
          <w:rFonts w:ascii="Arial" w:hAnsi="Arial" w:cs="Arial"/>
          <w:sz w:val="20"/>
          <w:szCs w:val="20"/>
        </w:rPr>
        <w:t>The average calorie count of a sandwich within the pub and bar channel</w:t>
      </w:r>
      <w:r w:rsidR="001B3CF2">
        <w:rPr>
          <w:rFonts w:ascii="Arial" w:hAnsi="Arial" w:cs="Arial"/>
          <w:sz w:val="20"/>
          <w:szCs w:val="20"/>
        </w:rPr>
        <w:t xml:space="preserve"> is much higher</w:t>
      </w:r>
      <w:r w:rsidR="00554471">
        <w:rPr>
          <w:rFonts w:ascii="Arial" w:hAnsi="Arial" w:cs="Arial"/>
          <w:sz w:val="20"/>
          <w:szCs w:val="20"/>
        </w:rPr>
        <w:t xml:space="preserve"> (875)</w:t>
      </w:r>
      <w:r w:rsidR="001B3CF2">
        <w:rPr>
          <w:rFonts w:ascii="Arial" w:hAnsi="Arial" w:cs="Arial"/>
          <w:sz w:val="20"/>
          <w:szCs w:val="20"/>
        </w:rPr>
        <w:t xml:space="preserve"> versus the other three channels, with coffee and sandwich shops </w:t>
      </w:r>
      <w:r w:rsidR="00554471">
        <w:rPr>
          <w:rFonts w:ascii="Arial" w:hAnsi="Arial" w:cs="Arial"/>
          <w:sz w:val="20"/>
          <w:szCs w:val="20"/>
        </w:rPr>
        <w:t>offering sandwiches with a much lower calorie count (412).</w:t>
      </w:r>
    </w:p>
    <w:p w14:paraId="534C19B5" w14:textId="250F8B2E" w:rsidR="00AF582F"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1557EC" w:rsidRPr="001557EC">
        <w:rPr>
          <w:rFonts w:ascii="Arial" w:hAnsi="Arial" w:cs="Arial"/>
          <w:i/>
          <w:iCs/>
          <w:sz w:val="20"/>
          <w:szCs w:val="20"/>
        </w:rPr>
        <w:t>The rising cost of living will see consumers become more conscious of what they spend their disposable income on. Lower-ticket meal solutions and channels are well placed to attract consumers that seek value. Sandwiches provide operators within all channels to mitigate this challenge by offering cheaper solutions.</w:t>
      </w:r>
      <w:r w:rsidR="00887A6F">
        <w:rPr>
          <w:rFonts w:ascii="Arial" w:hAnsi="Arial" w:cs="Arial"/>
          <w:i/>
          <w:iCs/>
          <w:sz w:val="20"/>
          <w:szCs w:val="20"/>
        </w:rPr>
        <w:t>”</w:t>
      </w:r>
    </w:p>
    <w:p w14:paraId="621435A7" w14:textId="4307F950"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w:t>
      </w:r>
      <w:r w:rsidR="001557EC">
        <w:rPr>
          <w:rFonts w:ascii="Arial" w:hAnsi="Arial" w:cs="Arial"/>
          <w:sz w:val="20"/>
          <w:szCs w:val="20"/>
        </w:rPr>
        <w:t>Menu Tracker</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33320C8C" w:rsidR="005E6F14" w:rsidRPr="001557EC" w:rsidRDefault="001557EC" w:rsidP="005E6F14">
      <w:pPr>
        <w:rPr>
          <w:rFonts w:ascii="Arial" w:hAnsi="Arial" w:cs="Arial"/>
          <w:b/>
          <w:bCs/>
          <w:sz w:val="20"/>
          <w:szCs w:val="20"/>
        </w:rPr>
      </w:pPr>
      <w:r w:rsidRPr="001557EC">
        <w:rPr>
          <w:rFonts w:ascii="Arial" w:hAnsi="Arial" w:cs="Arial"/>
          <w:b/>
          <w:bCs/>
          <w:sz w:val="20"/>
          <w:szCs w:val="20"/>
        </w:rPr>
        <w:t>Menu Tracker</w:t>
      </w:r>
    </w:p>
    <w:p w14:paraId="13D2030F" w14:textId="1AEADD69" w:rsidR="001557EC" w:rsidRDefault="005E6F14" w:rsidP="005E6F14">
      <w:pPr>
        <w:rPr>
          <w:rFonts w:ascii="Arial" w:hAnsi="Arial" w:cs="Arial"/>
          <w:sz w:val="20"/>
          <w:szCs w:val="20"/>
        </w:rPr>
      </w:pPr>
      <w:r w:rsidRPr="007464CC">
        <w:rPr>
          <w:rFonts w:ascii="Arial" w:hAnsi="Arial" w:cs="Arial"/>
          <w:sz w:val="20"/>
          <w:szCs w:val="20"/>
        </w:rPr>
        <w:t xml:space="preserve">Lumina Intelligence’s </w:t>
      </w:r>
      <w:r w:rsidR="001557EC">
        <w:rPr>
          <w:rFonts w:ascii="Arial" w:hAnsi="Arial" w:cs="Arial"/>
          <w:sz w:val="20"/>
          <w:szCs w:val="20"/>
        </w:rPr>
        <w:t>Menu Tracker enables you to t</w:t>
      </w:r>
      <w:r w:rsidR="001557EC" w:rsidRPr="001557EC">
        <w:rPr>
          <w:rFonts w:ascii="Arial" w:hAnsi="Arial" w:cs="Arial"/>
          <w:sz w:val="20"/>
          <w:szCs w:val="20"/>
        </w:rPr>
        <w:t>rack, compare &amp; analyse the pricing &amp; menu composition of 80 major UK pub, restaurant, QSR, sandwich and coffee shop operators.</w:t>
      </w:r>
      <w:r w:rsidR="001557EC">
        <w:rPr>
          <w:rFonts w:ascii="Arial" w:hAnsi="Arial" w:cs="Arial"/>
          <w:sz w:val="20"/>
          <w:szCs w:val="20"/>
        </w:rPr>
        <w:t xml:space="preserve"> Updated monthly, the tool allows for in depth analysis of:</w:t>
      </w:r>
    </w:p>
    <w:p w14:paraId="3F3CBA1F" w14:textId="4D6C2D72"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Brand menus</w:t>
      </w:r>
    </w:p>
    <w:p w14:paraId="4A185AD6" w14:textId="752A11E9"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Menu price inflation</w:t>
      </w:r>
    </w:p>
    <w:p w14:paraId="69FDFFF1" w14:textId="5F0785B8"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Dietary requirements</w:t>
      </w:r>
    </w:p>
    <w:p w14:paraId="3EA1DFDA" w14:textId="199133D5" w:rsidR="001557EC" w:rsidRDefault="001557EC" w:rsidP="001557EC">
      <w:pPr>
        <w:pStyle w:val="ListParagraph"/>
        <w:numPr>
          <w:ilvl w:val="0"/>
          <w:numId w:val="11"/>
        </w:numPr>
        <w:rPr>
          <w:rFonts w:ascii="Arial" w:hAnsi="Arial" w:cs="Arial"/>
          <w:sz w:val="20"/>
          <w:szCs w:val="20"/>
        </w:rPr>
      </w:pPr>
      <w:r>
        <w:rPr>
          <w:rFonts w:ascii="Arial" w:hAnsi="Arial" w:cs="Arial"/>
          <w:sz w:val="20"/>
          <w:szCs w:val="20"/>
        </w:rPr>
        <w:t>NPD</w:t>
      </w:r>
    </w:p>
    <w:p w14:paraId="727E415A" w14:textId="49F2300B" w:rsidR="001557EC" w:rsidRPr="001557EC" w:rsidRDefault="001557EC" w:rsidP="001557EC">
      <w:pPr>
        <w:pStyle w:val="ListParagraph"/>
        <w:numPr>
          <w:ilvl w:val="0"/>
          <w:numId w:val="11"/>
        </w:numPr>
        <w:rPr>
          <w:rFonts w:ascii="Arial" w:hAnsi="Arial" w:cs="Arial"/>
          <w:sz w:val="20"/>
          <w:szCs w:val="20"/>
        </w:rPr>
      </w:pPr>
      <w:r>
        <w:rPr>
          <w:rFonts w:ascii="Arial" w:hAnsi="Arial" w:cs="Arial"/>
          <w:sz w:val="20"/>
          <w:szCs w:val="20"/>
        </w:rPr>
        <w:t>Ingredients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051983"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1"/>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72404"/>
    <w:rsid w:val="000809E0"/>
    <w:rsid w:val="00091667"/>
    <w:rsid w:val="000F1972"/>
    <w:rsid w:val="00107E2B"/>
    <w:rsid w:val="00113451"/>
    <w:rsid w:val="00116246"/>
    <w:rsid w:val="001249C3"/>
    <w:rsid w:val="00134B6F"/>
    <w:rsid w:val="00135574"/>
    <w:rsid w:val="001557EC"/>
    <w:rsid w:val="00170061"/>
    <w:rsid w:val="00195F54"/>
    <w:rsid w:val="001A3D4E"/>
    <w:rsid w:val="001B3CF2"/>
    <w:rsid w:val="001B4688"/>
    <w:rsid w:val="001C50C1"/>
    <w:rsid w:val="001C5B98"/>
    <w:rsid w:val="001C65B6"/>
    <w:rsid w:val="001C7BF1"/>
    <w:rsid w:val="001D4D35"/>
    <w:rsid w:val="00214D95"/>
    <w:rsid w:val="00216F72"/>
    <w:rsid w:val="00240CAC"/>
    <w:rsid w:val="002578EA"/>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410EFD"/>
    <w:rsid w:val="00414095"/>
    <w:rsid w:val="0041755B"/>
    <w:rsid w:val="0044412F"/>
    <w:rsid w:val="00481042"/>
    <w:rsid w:val="004B3902"/>
    <w:rsid w:val="004C063F"/>
    <w:rsid w:val="004C2B82"/>
    <w:rsid w:val="004C5456"/>
    <w:rsid w:val="004D23F6"/>
    <w:rsid w:val="004E551E"/>
    <w:rsid w:val="004E5767"/>
    <w:rsid w:val="004F1FF8"/>
    <w:rsid w:val="0051728A"/>
    <w:rsid w:val="00520307"/>
    <w:rsid w:val="00532305"/>
    <w:rsid w:val="00550B08"/>
    <w:rsid w:val="0055150D"/>
    <w:rsid w:val="005522E6"/>
    <w:rsid w:val="00553497"/>
    <w:rsid w:val="00554471"/>
    <w:rsid w:val="00566CAE"/>
    <w:rsid w:val="0059063E"/>
    <w:rsid w:val="005A2368"/>
    <w:rsid w:val="005A4855"/>
    <w:rsid w:val="005B7E51"/>
    <w:rsid w:val="005E6F14"/>
    <w:rsid w:val="005F1548"/>
    <w:rsid w:val="00604B4A"/>
    <w:rsid w:val="0061620B"/>
    <w:rsid w:val="0062209E"/>
    <w:rsid w:val="00624D3B"/>
    <w:rsid w:val="0064772D"/>
    <w:rsid w:val="0065536E"/>
    <w:rsid w:val="006562DA"/>
    <w:rsid w:val="00664850"/>
    <w:rsid w:val="00690437"/>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A50F0"/>
    <w:rsid w:val="007C2AE1"/>
    <w:rsid w:val="007D197C"/>
    <w:rsid w:val="007F3C85"/>
    <w:rsid w:val="00813785"/>
    <w:rsid w:val="008249B4"/>
    <w:rsid w:val="008276B8"/>
    <w:rsid w:val="00831A17"/>
    <w:rsid w:val="00832CF9"/>
    <w:rsid w:val="008355EF"/>
    <w:rsid w:val="00846DDB"/>
    <w:rsid w:val="008542EC"/>
    <w:rsid w:val="00856858"/>
    <w:rsid w:val="00862CCB"/>
    <w:rsid w:val="00882EC4"/>
    <w:rsid w:val="00887A6F"/>
    <w:rsid w:val="00897AEF"/>
    <w:rsid w:val="008A46AD"/>
    <w:rsid w:val="008C2F28"/>
    <w:rsid w:val="008D4655"/>
    <w:rsid w:val="008D5C4F"/>
    <w:rsid w:val="008E1A01"/>
    <w:rsid w:val="008E317A"/>
    <w:rsid w:val="008E5A63"/>
    <w:rsid w:val="008E65E2"/>
    <w:rsid w:val="009400D0"/>
    <w:rsid w:val="00946C1D"/>
    <w:rsid w:val="00963A13"/>
    <w:rsid w:val="00970A81"/>
    <w:rsid w:val="00984842"/>
    <w:rsid w:val="009A6775"/>
    <w:rsid w:val="009C3668"/>
    <w:rsid w:val="009C613A"/>
    <w:rsid w:val="009D1543"/>
    <w:rsid w:val="00A26420"/>
    <w:rsid w:val="00A70FE3"/>
    <w:rsid w:val="00A82991"/>
    <w:rsid w:val="00A90A13"/>
    <w:rsid w:val="00A935A1"/>
    <w:rsid w:val="00A973D5"/>
    <w:rsid w:val="00AA4D4A"/>
    <w:rsid w:val="00AD236E"/>
    <w:rsid w:val="00AD5880"/>
    <w:rsid w:val="00AE6B2F"/>
    <w:rsid w:val="00AF582F"/>
    <w:rsid w:val="00B06987"/>
    <w:rsid w:val="00B06B5C"/>
    <w:rsid w:val="00B414CE"/>
    <w:rsid w:val="00B43838"/>
    <w:rsid w:val="00B46E6F"/>
    <w:rsid w:val="00B54F43"/>
    <w:rsid w:val="00B616DB"/>
    <w:rsid w:val="00B833AA"/>
    <w:rsid w:val="00BA2478"/>
    <w:rsid w:val="00BB34D9"/>
    <w:rsid w:val="00BB4747"/>
    <w:rsid w:val="00BC785A"/>
    <w:rsid w:val="00C16ADB"/>
    <w:rsid w:val="00C176BD"/>
    <w:rsid w:val="00C270FD"/>
    <w:rsid w:val="00C30C1F"/>
    <w:rsid w:val="00C362C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44CD2"/>
    <w:rsid w:val="00F744AB"/>
    <w:rsid w:val="00F74791"/>
    <w:rsid w:val="00F74BDC"/>
    <w:rsid w:val="00FB2C7F"/>
    <w:rsid w:val="00FC1A9F"/>
    <w:rsid w:val="00FE11D3"/>
    <w:rsid w:val="00FE5FD3"/>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2022-05-06T08:26:00Z</dcterms:created>
  <dcterms:modified xsi:type="dcterms:W3CDTF">2022-05-06T08:26:00Z</dcterms:modified>
</cp:coreProperties>
</file>