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080EF972" w:rsidR="00ED3ABD" w:rsidRDefault="00AF18DF" w:rsidP="00ED3ABD">
      <w:pPr>
        <w:spacing w:after="0" w:line="240" w:lineRule="auto"/>
        <w:rPr>
          <w:rFonts w:ascii="Arial" w:hAnsi="Arial" w:cs="Arial"/>
          <w:b/>
          <w:bCs/>
          <w:sz w:val="18"/>
          <w:szCs w:val="18"/>
        </w:rPr>
      </w:pPr>
      <w:hyperlink r:id="rId6" w:history="1">
        <w:r w:rsidR="008355EF" w:rsidRPr="00670A7F">
          <w:rPr>
            <w:rStyle w:val="Hyperlink"/>
            <w:rFonts w:ascii="Arial" w:hAnsi="Arial" w:cs="Arial"/>
            <w:b/>
            <w:bCs/>
            <w:sz w:val="18"/>
            <w:szCs w:val="18"/>
          </w:rPr>
          <w:t>Giorgio.rigali@lumina-intelligence.com</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1FF5CB73" w:rsidR="00ED3ABD" w:rsidRPr="00550B08" w:rsidRDefault="004C6C47"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1</w:t>
      </w:r>
      <w:r w:rsidR="00B62989">
        <w:rPr>
          <w:rStyle w:val="Hyperlink"/>
          <w:rFonts w:ascii="Arial" w:hAnsi="Arial" w:cs="Arial"/>
          <w:b/>
          <w:bCs/>
          <w:color w:val="505050"/>
          <w:sz w:val="18"/>
          <w:szCs w:val="18"/>
          <w:u w:val="none"/>
        </w:rPr>
        <w:t>4</w:t>
      </w:r>
      <w:r w:rsidR="008E65E2">
        <w:rPr>
          <w:rStyle w:val="Hyperlink"/>
          <w:rFonts w:ascii="Arial" w:hAnsi="Arial" w:cs="Arial"/>
          <w:b/>
          <w:bCs/>
          <w:color w:val="505050"/>
          <w:sz w:val="18"/>
          <w:szCs w:val="18"/>
          <w:u w:val="none"/>
        </w:rPr>
        <w:t xml:space="preserve"> </w:t>
      </w:r>
      <w:r w:rsidR="00B62989">
        <w:rPr>
          <w:rStyle w:val="Hyperlink"/>
          <w:rFonts w:ascii="Arial" w:hAnsi="Arial" w:cs="Arial"/>
          <w:b/>
          <w:bCs/>
          <w:color w:val="505050"/>
          <w:sz w:val="18"/>
          <w:szCs w:val="18"/>
          <w:u w:val="none"/>
        </w:rPr>
        <w:t>June</w:t>
      </w:r>
      <w:r w:rsidR="00CD419B">
        <w:rPr>
          <w:rStyle w:val="Hyperlink"/>
          <w:rFonts w:ascii="Arial" w:hAnsi="Arial" w:cs="Arial"/>
          <w:b/>
          <w:bCs/>
          <w:color w:val="505050"/>
          <w:sz w:val="18"/>
          <w:szCs w:val="18"/>
          <w:u w:val="none"/>
        </w:rPr>
        <w:t xml:space="preserve"> </w:t>
      </w:r>
      <w:r w:rsidR="003C4BB2" w:rsidRPr="00550B08">
        <w:rPr>
          <w:rStyle w:val="Hyperlink"/>
          <w:rFonts w:ascii="Arial" w:hAnsi="Arial" w:cs="Arial"/>
          <w:b/>
          <w:bCs/>
          <w:color w:val="505050"/>
          <w:sz w:val="18"/>
          <w:szCs w:val="18"/>
          <w:u w:val="none"/>
        </w:rPr>
        <w:t>202</w:t>
      </w:r>
      <w:r w:rsidR="008E65E2">
        <w:rPr>
          <w:rStyle w:val="Hyperlink"/>
          <w:rFonts w:ascii="Arial" w:hAnsi="Arial" w:cs="Arial"/>
          <w:b/>
          <w:bCs/>
          <w:color w:val="505050"/>
          <w:sz w:val="18"/>
          <w:szCs w:val="18"/>
          <w:u w:val="none"/>
        </w:rPr>
        <w:t>2</w:t>
      </w:r>
    </w:p>
    <w:p w14:paraId="74BC0C7C" w14:textId="77777777" w:rsidR="009400D0" w:rsidRPr="009400D0" w:rsidRDefault="009400D0" w:rsidP="009400D0">
      <w:pPr>
        <w:rPr>
          <w:rFonts w:ascii="Arial" w:hAnsi="Arial" w:cs="Arial"/>
          <w:b/>
          <w:bCs/>
          <w:sz w:val="32"/>
          <w:szCs w:val="32"/>
        </w:rPr>
      </w:pPr>
    </w:p>
    <w:p w14:paraId="502C0A40" w14:textId="77777777" w:rsidR="00053A7D" w:rsidRDefault="00053A7D" w:rsidP="00053A7D">
      <w:pPr>
        <w:jc w:val="center"/>
        <w:rPr>
          <w:rFonts w:ascii="Arial" w:hAnsi="Arial" w:cs="Arial"/>
          <w:b/>
          <w:bCs/>
          <w:sz w:val="32"/>
          <w:szCs w:val="32"/>
        </w:rPr>
      </w:pPr>
      <w:r w:rsidRPr="00053A7D">
        <w:rPr>
          <w:rFonts w:ascii="Arial" w:hAnsi="Arial" w:cs="Arial"/>
          <w:b/>
          <w:bCs/>
          <w:sz w:val="32"/>
          <w:szCs w:val="32"/>
        </w:rPr>
        <w:t>The UK eating out market is set to value £95.2 billion in 2022, +4% versus its 2019 value</w:t>
      </w:r>
    </w:p>
    <w:p w14:paraId="0A126638" w14:textId="3C753F55" w:rsidR="00B62989" w:rsidRDefault="009400D0" w:rsidP="00A973D5">
      <w:pPr>
        <w:rPr>
          <w:rFonts w:ascii="Arial" w:hAnsi="Arial" w:cs="Arial"/>
          <w:sz w:val="20"/>
          <w:szCs w:val="20"/>
        </w:rPr>
      </w:pPr>
      <w:r w:rsidRPr="009400D0">
        <w:rPr>
          <w:rFonts w:ascii="Arial" w:hAnsi="Arial" w:cs="Arial"/>
          <w:sz w:val="20"/>
          <w:szCs w:val="20"/>
        </w:rPr>
        <w:t xml:space="preserve">According to </w:t>
      </w:r>
      <w:r w:rsidR="00B62989">
        <w:rPr>
          <w:rFonts w:ascii="Arial" w:hAnsi="Arial" w:cs="Arial"/>
          <w:sz w:val="20"/>
          <w:szCs w:val="20"/>
        </w:rPr>
        <w:t xml:space="preserve">the new </w:t>
      </w:r>
      <w:r w:rsidR="0062209E">
        <w:rPr>
          <w:rFonts w:ascii="Arial" w:hAnsi="Arial" w:cs="Arial"/>
          <w:sz w:val="20"/>
          <w:szCs w:val="20"/>
        </w:rPr>
        <w:t>Lumina Intelligence</w:t>
      </w:r>
      <w:r w:rsidR="00B62989">
        <w:rPr>
          <w:rFonts w:ascii="Arial" w:hAnsi="Arial" w:cs="Arial"/>
          <w:sz w:val="20"/>
          <w:szCs w:val="20"/>
        </w:rPr>
        <w:t xml:space="preserve"> UK Eating Out Market Report 2022, </w:t>
      </w:r>
      <w:r w:rsidR="004943E4">
        <w:rPr>
          <w:rFonts w:ascii="Arial" w:hAnsi="Arial" w:cs="Arial"/>
          <w:sz w:val="20"/>
          <w:szCs w:val="20"/>
        </w:rPr>
        <w:t>t</w:t>
      </w:r>
      <w:r w:rsidR="004943E4" w:rsidRPr="004943E4">
        <w:rPr>
          <w:rFonts w:ascii="Arial" w:hAnsi="Arial" w:cs="Arial"/>
          <w:sz w:val="20"/>
          <w:szCs w:val="20"/>
        </w:rPr>
        <w:t>he UK eating out market is set to value £95.2 billion in 2022, +4% versus its 2019 value – meaning that inflation is outpacing market growth.</w:t>
      </w:r>
    </w:p>
    <w:p w14:paraId="472D171D" w14:textId="285D43D4" w:rsidR="004943E4" w:rsidRDefault="004943E4" w:rsidP="00A973D5">
      <w:pPr>
        <w:rPr>
          <w:rFonts w:ascii="Arial" w:hAnsi="Arial" w:cs="Arial"/>
          <w:sz w:val="20"/>
          <w:szCs w:val="20"/>
        </w:rPr>
      </w:pPr>
      <w:r w:rsidRPr="004943E4">
        <w:rPr>
          <w:rFonts w:ascii="Arial" w:hAnsi="Arial" w:cs="Arial"/>
          <w:sz w:val="20"/>
          <w:szCs w:val="20"/>
        </w:rPr>
        <w:t>Outlet growth is expected to be positive from 2022, at a compound annual growth rate (CAGR) of +0.5% from 2022F-2025F, up from the -0.5% from 2019-2022F.  Low ticket channels including coffee shops, sandwich &amp; bakery and fast food are gaining outlet share of the market post pandemic.</w:t>
      </w:r>
    </w:p>
    <w:p w14:paraId="1CFFE440" w14:textId="204FEFE5" w:rsidR="004943E4" w:rsidRPr="007B327D" w:rsidRDefault="007B327D" w:rsidP="00A973D5">
      <w:pPr>
        <w:rPr>
          <w:rFonts w:ascii="Arial" w:hAnsi="Arial" w:cs="Arial"/>
          <w:b/>
          <w:bCs/>
          <w:sz w:val="20"/>
          <w:szCs w:val="20"/>
        </w:rPr>
      </w:pPr>
      <w:r w:rsidRPr="007B327D">
        <w:rPr>
          <w:rFonts w:ascii="Arial" w:hAnsi="Arial" w:cs="Arial"/>
          <w:b/>
          <w:bCs/>
          <w:sz w:val="20"/>
          <w:szCs w:val="20"/>
        </w:rPr>
        <w:t xml:space="preserve">Retail, </w:t>
      </w:r>
      <w:proofErr w:type="gramStart"/>
      <w:r w:rsidRPr="007B327D">
        <w:rPr>
          <w:rFonts w:ascii="Arial" w:hAnsi="Arial" w:cs="Arial"/>
          <w:b/>
          <w:bCs/>
          <w:sz w:val="20"/>
          <w:szCs w:val="20"/>
        </w:rPr>
        <w:t>travel</w:t>
      </w:r>
      <w:proofErr w:type="gramEnd"/>
      <w:r w:rsidRPr="007B327D">
        <w:rPr>
          <w:rFonts w:ascii="Arial" w:hAnsi="Arial" w:cs="Arial"/>
          <w:b/>
          <w:bCs/>
          <w:sz w:val="20"/>
          <w:szCs w:val="20"/>
        </w:rPr>
        <w:t xml:space="preserve"> and leisure best performing segment of the total market</w:t>
      </w:r>
    </w:p>
    <w:p w14:paraId="50B8A99C" w14:textId="69A1F0B7" w:rsidR="004943E4" w:rsidRDefault="007B327D" w:rsidP="00A973D5">
      <w:pPr>
        <w:rPr>
          <w:rFonts w:ascii="Arial" w:hAnsi="Arial" w:cs="Arial"/>
          <w:sz w:val="20"/>
          <w:szCs w:val="20"/>
        </w:rPr>
      </w:pPr>
      <w:r>
        <w:rPr>
          <w:rFonts w:ascii="Arial" w:hAnsi="Arial" w:cs="Arial"/>
          <w:sz w:val="20"/>
          <w:szCs w:val="20"/>
        </w:rPr>
        <w:t xml:space="preserve">Versus 2019, retail, travel and leisure </w:t>
      </w:r>
      <w:proofErr w:type="gramStart"/>
      <w:r>
        <w:rPr>
          <w:rFonts w:ascii="Arial" w:hAnsi="Arial" w:cs="Arial"/>
          <w:sz w:val="20"/>
          <w:szCs w:val="20"/>
        </w:rPr>
        <w:t>is</w:t>
      </w:r>
      <w:proofErr w:type="gramEnd"/>
      <w:r>
        <w:rPr>
          <w:rFonts w:ascii="Arial" w:hAnsi="Arial" w:cs="Arial"/>
          <w:sz w:val="20"/>
          <w:szCs w:val="20"/>
        </w:rPr>
        <w:t xml:space="preserve"> set to be the best performing segment of the UK eating out market, growing at +9.1% against its 2019 value. In comparison, h</w:t>
      </w:r>
      <w:r w:rsidRPr="007B327D">
        <w:rPr>
          <w:rFonts w:ascii="Arial" w:hAnsi="Arial" w:cs="Arial"/>
          <w:sz w:val="20"/>
          <w:szCs w:val="20"/>
        </w:rPr>
        <w:t xml:space="preserve">otels, </w:t>
      </w:r>
      <w:proofErr w:type="gramStart"/>
      <w:r w:rsidRPr="007B327D">
        <w:rPr>
          <w:rFonts w:ascii="Arial" w:hAnsi="Arial" w:cs="Arial"/>
          <w:sz w:val="20"/>
          <w:szCs w:val="20"/>
        </w:rPr>
        <w:t>pubs</w:t>
      </w:r>
      <w:proofErr w:type="gramEnd"/>
      <w:r w:rsidRPr="007B327D">
        <w:rPr>
          <w:rFonts w:ascii="Arial" w:hAnsi="Arial" w:cs="Arial"/>
          <w:sz w:val="20"/>
          <w:szCs w:val="20"/>
        </w:rPr>
        <w:t xml:space="preserve"> and restaurants</w:t>
      </w:r>
      <w:r>
        <w:rPr>
          <w:rFonts w:ascii="Arial" w:hAnsi="Arial" w:cs="Arial"/>
          <w:sz w:val="20"/>
          <w:szCs w:val="20"/>
        </w:rPr>
        <w:t xml:space="preserve"> are set for growth of +2.8% versus 2019 and contract catering growth of +3.4%.</w:t>
      </w:r>
    </w:p>
    <w:p w14:paraId="049C8862" w14:textId="498E5E2D" w:rsidR="007B327D" w:rsidRDefault="007B327D" w:rsidP="00A973D5">
      <w:pPr>
        <w:rPr>
          <w:rFonts w:ascii="Arial" w:hAnsi="Arial" w:cs="Arial"/>
          <w:sz w:val="20"/>
          <w:szCs w:val="20"/>
        </w:rPr>
      </w:pPr>
      <w:r>
        <w:rPr>
          <w:rFonts w:ascii="Arial" w:hAnsi="Arial" w:cs="Arial"/>
          <w:sz w:val="20"/>
          <w:szCs w:val="20"/>
        </w:rPr>
        <w:t>At a value of £68.7bn, h</w:t>
      </w:r>
      <w:r w:rsidRPr="007B327D">
        <w:rPr>
          <w:rFonts w:ascii="Arial" w:hAnsi="Arial" w:cs="Arial"/>
          <w:sz w:val="20"/>
          <w:szCs w:val="20"/>
        </w:rPr>
        <w:t xml:space="preserve">otels, pubs and restaurants is the largest segment of the </w:t>
      </w:r>
      <w:r>
        <w:rPr>
          <w:rFonts w:ascii="Arial" w:hAnsi="Arial" w:cs="Arial"/>
          <w:sz w:val="20"/>
          <w:szCs w:val="20"/>
        </w:rPr>
        <w:t xml:space="preserve">UK </w:t>
      </w:r>
      <w:r w:rsidRPr="007B327D">
        <w:rPr>
          <w:rFonts w:ascii="Arial" w:hAnsi="Arial" w:cs="Arial"/>
          <w:sz w:val="20"/>
          <w:szCs w:val="20"/>
        </w:rPr>
        <w:t>eating out</w:t>
      </w:r>
      <w:r w:rsidR="008E4E24">
        <w:rPr>
          <w:rFonts w:ascii="Arial" w:hAnsi="Arial" w:cs="Arial"/>
          <w:sz w:val="20"/>
          <w:szCs w:val="20"/>
        </w:rPr>
        <w:t xml:space="preserve"> market</w:t>
      </w:r>
      <w:r>
        <w:rPr>
          <w:rFonts w:ascii="Arial" w:hAnsi="Arial" w:cs="Arial"/>
          <w:sz w:val="20"/>
          <w:szCs w:val="20"/>
        </w:rPr>
        <w:t xml:space="preserve">, but is also set to see the </w:t>
      </w:r>
      <w:r w:rsidRPr="007B327D">
        <w:rPr>
          <w:rFonts w:ascii="Arial" w:hAnsi="Arial" w:cs="Arial"/>
          <w:sz w:val="20"/>
          <w:szCs w:val="20"/>
        </w:rPr>
        <w:t>slowest recovery</w:t>
      </w:r>
      <w:r>
        <w:rPr>
          <w:rFonts w:ascii="Arial" w:hAnsi="Arial" w:cs="Arial"/>
          <w:sz w:val="20"/>
          <w:szCs w:val="20"/>
        </w:rPr>
        <w:t>, with c</w:t>
      </w:r>
      <w:r w:rsidRPr="007B327D">
        <w:rPr>
          <w:rFonts w:ascii="Arial" w:hAnsi="Arial" w:cs="Arial"/>
          <w:sz w:val="20"/>
          <w:szCs w:val="20"/>
        </w:rPr>
        <w:t>ontinued outlet decline and dampened consumer confidence</w:t>
      </w:r>
      <w:r w:rsidR="008E4E24">
        <w:rPr>
          <w:rFonts w:ascii="Arial" w:hAnsi="Arial" w:cs="Arial"/>
          <w:sz w:val="20"/>
          <w:szCs w:val="20"/>
        </w:rPr>
        <w:t xml:space="preserve"> impacting footfall in the segment</w:t>
      </w:r>
      <w:r>
        <w:rPr>
          <w:rFonts w:ascii="Arial" w:hAnsi="Arial" w:cs="Arial"/>
          <w:sz w:val="20"/>
          <w:szCs w:val="20"/>
        </w:rPr>
        <w:t>.</w:t>
      </w:r>
    </w:p>
    <w:p w14:paraId="44039786" w14:textId="308C67C6" w:rsidR="007B327D" w:rsidRPr="007B327D" w:rsidRDefault="007B327D" w:rsidP="00A973D5">
      <w:pPr>
        <w:rPr>
          <w:rFonts w:ascii="Arial" w:hAnsi="Arial" w:cs="Arial"/>
          <w:b/>
          <w:bCs/>
          <w:sz w:val="20"/>
          <w:szCs w:val="20"/>
        </w:rPr>
      </w:pPr>
      <w:r w:rsidRPr="007B327D">
        <w:rPr>
          <w:rFonts w:ascii="Arial" w:hAnsi="Arial" w:cs="Arial"/>
          <w:b/>
          <w:bCs/>
          <w:sz w:val="20"/>
          <w:szCs w:val="20"/>
        </w:rPr>
        <w:t>Top 10 UK eating out brands to grow +17.1% in 2022</w:t>
      </w:r>
    </w:p>
    <w:p w14:paraId="1575DB0B" w14:textId="7C61A4CF" w:rsidR="007B327D" w:rsidRDefault="007B327D" w:rsidP="00A973D5">
      <w:pPr>
        <w:rPr>
          <w:rFonts w:ascii="Arial" w:hAnsi="Arial" w:cs="Arial"/>
          <w:sz w:val="20"/>
          <w:szCs w:val="20"/>
        </w:rPr>
      </w:pPr>
      <w:r>
        <w:rPr>
          <w:rFonts w:ascii="Arial" w:hAnsi="Arial" w:cs="Arial"/>
          <w:sz w:val="20"/>
          <w:szCs w:val="20"/>
        </w:rPr>
        <w:t xml:space="preserve">The top 10 UK eating out brands are set to be worth £15.2bn in 2022, with McDonald’s </w:t>
      </w:r>
      <w:r w:rsidR="007A216E">
        <w:rPr>
          <w:rFonts w:ascii="Arial" w:hAnsi="Arial" w:cs="Arial"/>
          <w:sz w:val="20"/>
          <w:szCs w:val="20"/>
        </w:rPr>
        <w:t xml:space="preserve">the biggest in the market. </w:t>
      </w:r>
      <w:r w:rsidR="007A216E" w:rsidRPr="007A216E">
        <w:rPr>
          <w:rFonts w:ascii="Arial" w:hAnsi="Arial" w:cs="Arial"/>
          <w:sz w:val="20"/>
          <w:szCs w:val="20"/>
        </w:rPr>
        <w:t xml:space="preserve">Brands including KFC, Greggs and </w:t>
      </w:r>
      <w:proofErr w:type="spellStart"/>
      <w:r w:rsidR="007A216E" w:rsidRPr="007A216E">
        <w:rPr>
          <w:rFonts w:ascii="Arial" w:hAnsi="Arial" w:cs="Arial"/>
          <w:sz w:val="20"/>
          <w:szCs w:val="20"/>
        </w:rPr>
        <w:t>Domino’s</w:t>
      </w:r>
      <w:proofErr w:type="spellEnd"/>
      <w:r w:rsidR="007A216E" w:rsidRPr="007A216E">
        <w:rPr>
          <w:rFonts w:ascii="Arial" w:hAnsi="Arial" w:cs="Arial"/>
          <w:sz w:val="20"/>
          <w:szCs w:val="20"/>
        </w:rPr>
        <w:t xml:space="preserve"> are expected to see turnover recovery from 2019 upwards of +20.0%. </w:t>
      </w:r>
    </w:p>
    <w:p w14:paraId="3BE45668" w14:textId="58DA36A7" w:rsidR="007A216E" w:rsidRDefault="007A216E" w:rsidP="00A973D5">
      <w:pPr>
        <w:rPr>
          <w:rFonts w:ascii="Arial" w:hAnsi="Arial" w:cs="Arial"/>
          <w:sz w:val="20"/>
          <w:szCs w:val="20"/>
        </w:rPr>
      </w:pPr>
      <w:r>
        <w:rPr>
          <w:rFonts w:ascii="Arial" w:hAnsi="Arial" w:cs="Arial"/>
          <w:sz w:val="20"/>
          <w:szCs w:val="20"/>
        </w:rPr>
        <w:t>As a group, the top UK eating out brands command a market share of 15.9% - a decline of -1.3ppts versus 2019.</w:t>
      </w:r>
    </w:p>
    <w:p w14:paraId="52671442" w14:textId="7C138A10" w:rsidR="007B327D" w:rsidRPr="007A216E" w:rsidRDefault="007A216E" w:rsidP="00A973D5">
      <w:pPr>
        <w:rPr>
          <w:rFonts w:ascii="Arial" w:hAnsi="Arial" w:cs="Arial"/>
          <w:b/>
          <w:bCs/>
          <w:sz w:val="20"/>
          <w:szCs w:val="20"/>
        </w:rPr>
      </w:pPr>
      <w:r w:rsidRPr="007A216E">
        <w:rPr>
          <w:rFonts w:ascii="Arial" w:hAnsi="Arial" w:cs="Arial"/>
          <w:b/>
          <w:bCs/>
          <w:sz w:val="20"/>
          <w:szCs w:val="20"/>
        </w:rPr>
        <w:t>Cost pressures see consumers becoming more price-led</w:t>
      </w:r>
    </w:p>
    <w:p w14:paraId="2E04DEE0" w14:textId="273D3B5F" w:rsidR="007B327D" w:rsidRDefault="00B02829" w:rsidP="00A973D5">
      <w:pPr>
        <w:rPr>
          <w:rFonts w:ascii="Arial" w:hAnsi="Arial" w:cs="Arial"/>
          <w:sz w:val="20"/>
          <w:szCs w:val="20"/>
        </w:rPr>
      </w:pPr>
      <w:r w:rsidRPr="00B02829">
        <w:rPr>
          <w:rFonts w:ascii="Arial" w:hAnsi="Arial" w:cs="Arial"/>
          <w:sz w:val="20"/>
          <w:szCs w:val="20"/>
        </w:rPr>
        <w:t>There has been a +2ppt increase in consumers being price-led, amid decade-high inflation and the rising cost of living in the UK. 72% of consumers align with price-led values, meaning that operators across the market will need to emphasise value for money credentials through promotions, loyalty schemes and good quality products and services.</w:t>
      </w:r>
    </w:p>
    <w:p w14:paraId="38AC3240" w14:textId="59A7173C" w:rsidR="007B327D" w:rsidRDefault="00B02829" w:rsidP="00A973D5">
      <w:pPr>
        <w:rPr>
          <w:rFonts w:ascii="Arial" w:hAnsi="Arial" w:cs="Arial"/>
          <w:sz w:val="20"/>
          <w:szCs w:val="20"/>
        </w:rPr>
      </w:pPr>
      <w:r w:rsidRPr="00B02829">
        <w:rPr>
          <w:rFonts w:ascii="Arial" w:hAnsi="Arial" w:cs="Arial"/>
          <w:sz w:val="20"/>
          <w:szCs w:val="20"/>
        </w:rPr>
        <w:t xml:space="preserve">The proportion of consumers eating out has seen a boost of +23% and visit frequency has increased by +15% over </w:t>
      </w:r>
      <w:r>
        <w:rPr>
          <w:rFonts w:ascii="Arial" w:hAnsi="Arial" w:cs="Arial"/>
          <w:sz w:val="20"/>
          <w:szCs w:val="20"/>
        </w:rPr>
        <w:t>the 12 weeks ending 15/05/22</w:t>
      </w:r>
      <w:r w:rsidRPr="00B02829">
        <w:rPr>
          <w:rFonts w:ascii="Arial" w:hAnsi="Arial" w:cs="Arial"/>
          <w:sz w:val="20"/>
          <w:szCs w:val="20"/>
        </w:rPr>
        <w:t xml:space="preserve">, compared to the same period last year when dine-in was restricted to outdoor-only.  Average spend has grown by +12%, compared to last May period when occasions heavily relied on delivery and quick service channels.  </w:t>
      </w:r>
    </w:p>
    <w:p w14:paraId="248E4821" w14:textId="07B2EB16" w:rsidR="00B02829" w:rsidRDefault="00B02829" w:rsidP="00A973D5">
      <w:pPr>
        <w:rPr>
          <w:rFonts w:ascii="Arial" w:hAnsi="Arial" w:cs="Arial"/>
          <w:sz w:val="20"/>
          <w:szCs w:val="20"/>
        </w:rPr>
      </w:pPr>
      <w:r>
        <w:rPr>
          <w:rFonts w:ascii="Arial" w:hAnsi="Arial" w:cs="Arial"/>
          <w:sz w:val="20"/>
          <w:szCs w:val="20"/>
        </w:rPr>
        <w:t>However, between December 2021 and May 2022, these increases have been modest. Penetration rose by +3%, visit frequency remained flat at 1.5 times per week and spend grew just +2% to £10.79 per visit.</w:t>
      </w:r>
    </w:p>
    <w:p w14:paraId="75F152B4" w14:textId="6136A52E" w:rsidR="00B02829" w:rsidRPr="00B02829" w:rsidRDefault="00B02829" w:rsidP="00A973D5">
      <w:pPr>
        <w:rPr>
          <w:rFonts w:ascii="Arial" w:hAnsi="Arial" w:cs="Arial"/>
          <w:b/>
          <w:bCs/>
          <w:sz w:val="20"/>
          <w:szCs w:val="20"/>
        </w:rPr>
      </w:pPr>
      <w:r w:rsidRPr="00B02829">
        <w:rPr>
          <w:rFonts w:ascii="Arial" w:hAnsi="Arial" w:cs="Arial"/>
          <w:b/>
          <w:bCs/>
          <w:sz w:val="20"/>
          <w:szCs w:val="20"/>
        </w:rPr>
        <w:t>Lunch sees biggest increase in day part share</w:t>
      </w:r>
    </w:p>
    <w:p w14:paraId="086BC596" w14:textId="4AFAFC69" w:rsidR="00B02829" w:rsidRDefault="00B02829" w:rsidP="00A973D5">
      <w:pPr>
        <w:rPr>
          <w:rFonts w:ascii="Arial" w:hAnsi="Arial" w:cs="Arial"/>
          <w:sz w:val="20"/>
          <w:szCs w:val="20"/>
        </w:rPr>
      </w:pPr>
      <w:r w:rsidRPr="00B02829">
        <w:rPr>
          <w:rFonts w:ascii="Arial" w:hAnsi="Arial" w:cs="Arial"/>
          <w:sz w:val="20"/>
          <w:szCs w:val="20"/>
        </w:rPr>
        <w:t xml:space="preserve">Lunch occasions have seen the biggest increase in day-part share in 12WE 15/05/22, compared to the same period last year (+3.3ppts).  This growth has been at the expense of dinner occasions which have declined by -4.4ppts, as consumers opted for daytime occasions including lunch, </w:t>
      </w:r>
      <w:proofErr w:type="gramStart"/>
      <w:r w:rsidRPr="00B02829">
        <w:rPr>
          <w:rFonts w:ascii="Arial" w:hAnsi="Arial" w:cs="Arial"/>
          <w:sz w:val="20"/>
          <w:szCs w:val="20"/>
        </w:rPr>
        <w:t>snack</w:t>
      </w:r>
      <w:proofErr w:type="gramEnd"/>
      <w:r w:rsidRPr="00B02829">
        <w:rPr>
          <w:rFonts w:ascii="Arial" w:hAnsi="Arial" w:cs="Arial"/>
          <w:sz w:val="20"/>
          <w:szCs w:val="20"/>
        </w:rPr>
        <w:t xml:space="preserve"> and drink-only occasions.  This is driven by more workers being back in offices and seeking quick, affordable and on the go solutions.</w:t>
      </w:r>
    </w:p>
    <w:p w14:paraId="19B22D27" w14:textId="05BF6B7E" w:rsidR="00B02829" w:rsidRPr="00B02829" w:rsidRDefault="00B02829" w:rsidP="00A973D5">
      <w:pPr>
        <w:rPr>
          <w:rFonts w:ascii="Arial" w:hAnsi="Arial" w:cs="Arial"/>
          <w:b/>
          <w:bCs/>
          <w:sz w:val="20"/>
          <w:szCs w:val="20"/>
        </w:rPr>
      </w:pPr>
      <w:r w:rsidRPr="00B02829">
        <w:rPr>
          <w:rFonts w:ascii="Arial" w:hAnsi="Arial" w:cs="Arial"/>
          <w:b/>
          <w:bCs/>
          <w:sz w:val="20"/>
          <w:szCs w:val="20"/>
        </w:rPr>
        <w:t>Increase in occasions including both food and drink</w:t>
      </w:r>
    </w:p>
    <w:p w14:paraId="1B8B70F4" w14:textId="1B8F9BB9" w:rsidR="00B02829" w:rsidRDefault="00B02829" w:rsidP="00A973D5">
      <w:pPr>
        <w:rPr>
          <w:rFonts w:ascii="Arial" w:hAnsi="Arial" w:cs="Arial"/>
          <w:sz w:val="20"/>
          <w:szCs w:val="20"/>
        </w:rPr>
      </w:pPr>
      <w:r w:rsidRPr="00B02829">
        <w:rPr>
          <w:rFonts w:ascii="Arial" w:hAnsi="Arial" w:cs="Arial"/>
          <w:sz w:val="20"/>
          <w:szCs w:val="20"/>
        </w:rPr>
        <w:t>Occasions that include both food and drink have dominated the eating/drinking out market in 12WE 15/05/22, up by +1ppt</w:t>
      </w:r>
      <w:r w:rsidR="00AF18DF">
        <w:rPr>
          <w:rFonts w:ascii="Arial" w:hAnsi="Arial" w:cs="Arial"/>
          <w:sz w:val="20"/>
          <w:szCs w:val="20"/>
        </w:rPr>
        <w:t xml:space="preserve"> versus </w:t>
      </w:r>
      <w:r w:rsidR="00AF18DF" w:rsidRPr="00AF18DF">
        <w:rPr>
          <w:rFonts w:ascii="Arial" w:hAnsi="Arial" w:cs="Arial"/>
          <w:sz w:val="20"/>
          <w:szCs w:val="20"/>
        </w:rPr>
        <w:t>12WE 20/02/22</w:t>
      </w:r>
      <w:r w:rsidRPr="00B02829">
        <w:rPr>
          <w:rFonts w:ascii="Arial" w:hAnsi="Arial" w:cs="Arial"/>
          <w:sz w:val="20"/>
          <w:szCs w:val="20"/>
        </w:rPr>
        <w:t>.  Drink-only occasions have also increased in the period by +0.6ppts, showcasing the opportunity for operators to offer a greater range of meal deal pairings including drinks to prompt consumers to purchase food alongside a drink.</w:t>
      </w:r>
    </w:p>
    <w:p w14:paraId="7BC7E970" w14:textId="092E1EDA" w:rsidR="00B02829" w:rsidRDefault="00AF18DF" w:rsidP="00A973D5">
      <w:pPr>
        <w:rPr>
          <w:rFonts w:ascii="Arial" w:hAnsi="Arial" w:cs="Arial"/>
          <w:sz w:val="20"/>
          <w:szCs w:val="20"/>
        </w:rPr>
      </w:pPr>
      <w:r>
        <w:rPr>
          <w:rFonts w:ascii="Arial" w:hAnsi="Arial" w:cs="Arial"/>
          <w:sz w:val="20"/>
          <w:szCs w:val="20"/>
        </w:rPr>
        <w:t>Over the same period, a</w:t>
      </w:r>
      <w:r w:rsidR="00B02829" w:rsidRPr="00B02829">
        <w:rPr>
          <w:rFonts w:ascii="Arial" w:hAnsi="Arial" w:cs="Arial"/>
          <w:sz w:val="20"/>
          <w:szCs w:val="20"/>
        </w:rPr>
        <w:t xml:space="preserve">lcoholic drinks are increasing share of occasions by +1ppt, driven by sporting events and consumers opting for more </w:t>
      </w:r>
      <w:proofErr w:type="gramStart"/>
      <w:r w:rsidR="00B02829" w:rsidRPr="00B02829">
        <w:rPr>
          <w:rFonts w:ascii="Arial" w:hAnsi="Arial" w:cs="Arial"/>
          <w:sz w:val="20"/>
          <w:szCs w:val="20"/>
        </w:rPr>
        <w:t>pubs</w:t>
      </w:r>
      <w:proofErr w:type="gramEnd"/>
      <w:r w:rsidR="00B02829" w:rsidRPr="00B02829">
        <w:rPr>
          <w:rFonts w:ascii="Arial" w:hAnsi="Arial" w:cs="Arial"/>
          <w:sz w:val="20"/>
          <w:szCs w:val="20"/>
        </w:rPr>
        <w:t xml:space="preserve"> visits. Beer consumption has increased by +2ppts, driven by the warmer weather and sporting events.  San Miguel has grown its share by +2ppts, with consumers opting for more premium beers, highlighting an opportunity to drive spend through premium occasions.</w:t>
      </w:r>
    </w:p>
    <w:p w14:paraId="7F8BCB7C" w14:textId="12A5F669" w:rsidR="00B02829" w:rsidRPr="00B02829" w:rsidRDefault="00B02829" w:rsidP="00A973D5">
      <w:pPr>
        <w:rPr>
          <w:rFonts w:ascii="Arial" w:hAnsi="Arial" w:cs="Arial"/>
          <w:b/>
          <w:bCs/>
          <w:sz w:val="20"/>
          <w:szCs w:val="20"/>
        </w:rPr>
      </w:pPr>
      <w:r w:rsidRPr="00B02829">
        <w:rPr>
          <w:rFonts w:ascii="Arial" w:hAnsi="Arial" w:cs="Arial"/>
          <w:b/>
          <w:bCs/>
          <w:sz w:val="20"/>
          <w:szCs w:val="20"/>
        </w:rPr>
        <w:t>UK eating out market to be worth £102.8bn in 2025</w:t>
      </w:r>
    </w:p>
    <w:p w14:paraId="2BAC3334" w14:textId="36537BA3" w:rsidR="00B62989" w:rsidRDefault="005E540B" w:rsidP="00A973D5">
      <w:pPr>
        <w:rPr>
          <w:rFonts w:ascii="Arial" w:hAnsi="Arial" w:cs="Arial"/>
          <w:sz w:val="20"/>
          <w:szCs w:val="20"/>
        </w:rPr>
      </w:pPr>
      <w:r w:rsidRPr="005E540B">
        <w:rPr>
          <w:rFonts w:ascii="Arial" w:hAnsi="Arial" w:cs="Arial"/>
          <w:sz w:val="20"/>
          <w:szCs w:val="20"/>
        </w:rPr>
        <w:t>The eating out market is forecast to total £102.8 billion in 2025, representing a compound annual growth rate (CAGR) of +2.6% from 2022F-2025F.</w:t>
      </w:r>
    </w:p>
    <w:p w14:paraId="3BBAF621" w14:textId="397695FD" w:rsidR="005E540B" w:rsidRDefault="005E540B" w:rsidP="00A973D5">
      <w:pPr>
        <w:rPr>
          <w:rFonts w:ascii="Arial" w:hAnsi="Arial" w:cs="Arial"/>
          <w:sz w:val="20"/>
          <w:szCs w:val="20"/>
        </w:rPr>
      </w:pPr>
      <w:r w:rsidRPr="005E540B">
        <w:rPr>
          <w:rFonts w:ascii="Arial" w:hAnsi="Arial" w:cs="Arial"/>
          <w:sz w:val="20"/>
          <w:szCs w:val="20"/>
        </w:rPr>
        <w:t xml:space="preserve">Inflation is forecast to sit between 2.5% and 2.0% from 2023-2025, meaning there will be little volume growth in the market to 2025.  </w:t>
      </w:r>
    </w:p>
    <w:p w14:paraId="7F04B2C7" w14:textId="23FDD33B" w:rsidR="00B02829" w:rsidRDefault="005E540B" w:rsidP="009400D0">
      <w:pPr>
        <w:rPr>
          <w:rFonts w:ascii="Arial" w:hAnsi="Arial" w:cs="Arial"/>
          <w:sz w:val="20"/>
          <w:szCs w:val="20"/>
        </w:rPr>
      </w:pPr>
      <w:r w:rsidRPr="005E540B">
        <w:rPr>
          <w:rFonts w:ascii="Arial" w:hAnsi="Arial" w:cs="Arial"/>
          <w:sz w:val="20"/>
          <w:szCs w:val="20"/>
        </w:rPr>
        <w:t xml:space="preserve">There is a £5.7bn size of the prize for the top 10 sub channels from 2022F-2025F.  Managed, </w:t>
      </w:r>
      <w:proofErr w:type="gramStart"/>
      <w:r w:rsidRPr="005E540B">
        <w:rPr>
          <w:rFonts w:ascii="Arial" w:hAnsi="Arial" w:cs="Arial"/>
          <w:sz w:val="20"/>
          <w:szCs w:val="20"/>
        </w:rPr>
        <w:t>branded</w:t>
      </w:r>
      <w:proofErr w:type="gramEnd"/>
      <w:r w:rsidRPr="005E540B">
        <w:rPr>
          <w:rFonts w:ascii="Arial" w:hAnsi="Arial" w:cs="Arial"/>
          <w:sz w:val="20"/>
          <w:szCs w:val="20"/>
        </w:rPr>
        <w:t xml:space="preserve"> and franchised pubs are set to lead in absolute value growth</w:t>
      </w:r>
      <w:r>
        <w:rPr>
          <w:rFonts w:ascii="Arial" w:hAnsi="Arial" w:cs="Arial"/>
          <w:sz w:val="20"/>
          <w:szCs w:val="20"/>
        </w:rPr>
        <w:t>.</w:t>
      </w:r>
    </w:p>
    <w:p w14:paraId="3C451EA4" w14:textId="1021A23D" w:rsidR="005E540B" w:rsidRDefault="009400D0" w:rsidP="009400D0">
      <w:pPr>
        <w:rPr>
          <w:rFonts w:ascii="Arial" w:hAnsi="Arial" w:cs="Arial"/>
          <w:i/>
          <w:iCs/>
          <w:sz w:val="20"/>
          <w:szCs w:val="20"/>
        </w:rPr>
      </w:pPr>
      <w:r w:rsidRPr="009400D0">
        <w:rPr>
          <w:rFonts w:ascii="Arial" w:hAnsi="Arial" w:cs="Arial"/>
          <w:sz w:val="20"/>
          <w:szCs w:val="20"/>
        </w:rPr>
        <w:t xml:space="preserve">Commenting on the </w:t>
      </w:r>
      <w:r w:rsidR="00F74791">
        <w:rPr>
          <w:rFonts w:ascii="Arial" w:hAnsi="Arial" w:cs="Arial"/>
          <w:sz w:val="20"/>
          <w:szCs w:val="20"/>
        </w:rPr>
        <w:t>findings</w:t>
      </w:r>
      <w:r w:rsidRPr="009400D0">
        <w:rPr>
          <w:rFonts w:ascii="Arial" w:hAnsi="Arial" w:cs="Arial"/>
          <w:sz w:val="20"/>
          <w:szCs w:val="20"/>
        </w:rPr>
        <w:t xml:space="preserve">, </w:t>
      </w:r>
      <w:r w:rsidR="00DF6CC2">
        <w:rPr>
          <w:rFonts w:ascii="Arial" w:hAnsi="Arial" w:cs="Arial"/>
          <w:sz w:val="20"/>
          <w:szCs w:val="20"/>
        </w:rPr>
        <w:t xml:space="preserve">Senior </w:t>
      </w:r>
      <w:r w:rsidRPr="009400D0">
        <w:rPr>
          <w:rFonts w:ascii="Arial" w:hAnsi="Arial" w:cs="Arial"/>
          <w:sz w:val="20"/>
          <w:szCs w:val="20"/>
        </w:rPr>
        <w:t xml:space="preserve">Insight </w:t>
      </w:r>
      <w:r w:rsidR="00DF6CC2">
        <w:rPr>
          <w:rFonts w:ascii="Arial" w:hAnsi="Arial" w:cs="Arial"/>
          <w:sz w:val="20"/>
          <w:szCs w:val="20"/>
        </w:rPr>
        <w:t>Manager</w:t>
      </w:r>
      <w:r w:rsidRPr="009400D0">
        <w:rPr>
          <w:rFonts w:ascii="Arial" w:hAnsi="Arial" w:cs="Arial"/>
          <w:sz w:val="20"/>
          <w:szCs w:val="20"/>
        </w:rPr>
        <w:t xml:space="preserve"> at Lumina Intelligence, </w:t>
      </w:r>
      <w:r w:rsidR="00DF6CC2">
        <w:rPr>
          <w:rFonts w:ascii="Arial" w:hAnsi="Arial" w:cs="Arial"/>
          <w:sz w:val="20"/>
          <w:szCs w:val="20"/>
        </w:rPr>
        <w:t>Kat</w:t>
      </w:r>
      <w:r w:rsidR="00822603">
        <w:rPr>
          <w:rFonts w:ascii="Arial" w:hAnsi="Arial" w:cs="Arial"/>
          <w:sz w:val="20"/>
          <w:szCs w:val="20"/>
        </w:rPr>
        <w:t>ie</w:t>
      </w:r>
      <w:r w:rsidR="00DF6CC2">
        <w:rPr>
          <w:rFonts w:ascii="Arial" w:hAnsi="Arial" w:cs="Arial"/>
          <w:sz w:val="20"/>
          <w:szCs w:val="20"/>
        </w:rPr>
        <w:t xml:space="preserve"> Prowse</w:t>
      </w:r>
      <w:r w:rsidRPr="009400D0">
        <w:rPr>
          <w:rFonts w:ascii="Arial" w:hAnsi="Arial" w:cs="Arial"/>
          <w:sz w:val="20"/>
          <w:szCs w:val="20"/>
        </w:rPr>
        <w:t xml:space="preserve">, said: </w:t>
      </w:r>
      <w:r w:rsidRPr="009400D0">
        <w:rPr>
          <w:rFonts w:ascii="Arial" w:hAnsi="Arial" w:cs="Arial"/>
          <w:i/>
          <w:iCs/>
          <w:sz w:val="20"/>
          <w:szCs w:val="20"/>
        </w:rPr>
        <w:t>“</w:t>
      </w:r>
      <w:r w:rsidR="005E540B">
        <w:rPr>
          <w:rFonts w:ascii="Arial" w:hAnsi="Arial" w:cs="Arial"/>
          <w:i/>
          <w:iCs/>
          <w:sz w:val="20"/>
          <w:szCs w:val="20"/>
        </w:rPr>
        <w:t xml:space="preserve">Operators across the UK eating out market will be buoyed by the end of the pandemic and the </w:t>
      </w:r>
      <w:r w:rsidR="008E4E24">
        <w:rPr>
          <w:rFonts w:ascii="Arial" w:hAnsi="Arial" w:cs="Arial"/>
          <w:i/>
          <w:iCs/>
          <w:sz w:val="20"/>
          <w:szCs w:val="20"/>
        </w:rPr>
        <w:t>impact</w:t>
      </w:r>
      <w:r w:rsidR="005E540B">
        <w:rPr>
          <w:rFonts w:ascii="Arial" w:hAnsi="Arial" w:cs="Arial"/>
          <w:i/>
          <w:iCs/>
          <w:sz w:val="20"/>
          <w:szCs w:val="20"/>
        </w:rPr>
        <w:t xml:space="preserve"> of a year’s trading without restrictions. However, the reality will not </w:t>
      </w:r>
      <w:r w:rsidR="009561EC">
        <w:rPr>
          <w:rFonts w:ascii="Arial" w:hAnsi="Arial" w:cs="Arial"/>
          <w:i/>
          <w:iCs/>
          <w:sz w:val="20"/>
          <w:szCs w:val="20"/>
        </w:rPr>
        <w:t>live up to expectations, as operators face rising costs, staff shortages and squeezed household incomes. We are already seeing the impact of these in the data, with spend growth and penetration both slowing. Operators face a significant challenge managing costs, as well as attracting footfall.”</w:t>
      </w:r>
    </w:p>
    <w:p w14:paraId="534C19B5" w14:textId="21C1436A" w:rsidR="00AF582F" w:rsidRDefault="009561EC" w:rsidP="009400D0">
      <w:pPr>
        <w:rPr>
          <w:rFonts w:ascii="Arial" w:hAnsi="Arial" w:cs="Arial"/>
          <w:i/>
          <w:iCs/>
          <w:sz w:val="20"/>
          <w:szCs w:val="20"/>
        </w:rPr>
      </w:pPr>
      <w:r>
        <w:rPr>
          <w:rFonts w:ascii="Arial" w:hAnsi="Arial" w:cs="Arial"/>
          <w:i/>
          <w:iCs/>
          <w:sz w:val="20"/>
          <w:szCs w:val="20"/>
        </w:rPr>
        <w:t>“</w:t>
      </w:r>
      <w:r w:rsidR="008E4E24">
        <w:rPr>
          <w:rFonts w:ascii="Arial" w:hAnsi="Arial" w:cs="Arial"/>
          <w:i/>
          <w:iCs/>
          <w:sz w:val="20"/>
          <w:szCs w:val="20"/>
        </w:rPr>
        <w:t>D</w:t>
      </w:r>
      <w:r>
        <w:rPr>
          <w:rFonts w:ascii="Arial" w:hAnsi="Arial" w:cs="Arial"/>
          <w:i/>
          <w:iCs/>
          <w:sz w:val="20"/>
          <w:szCs w:val="20"/>
        </w:rPr>
        <w:t xml:space="preserve">espite the challenges, there will be opportunities. This £5.7bn opportunity between 2022-25 shows the size of the prize for brands. </w:t>
      </w:r>
      <w:r w:rsidRPr="009561EC">
        <w:rPr>
          <w:rFonts w:ascii="Arial" w:hAnsi="Arial" w:cs="Arial"/>
          <w:i/>
          <w:iCs/>
          <w:sz w:val="20"/>
          <w:szCs w:val="20"/>
        </w:rPr>
        <w:t>Delivery</w:t>
      </w:r>
      <w:r w:rsidR="008862E1">
        <w:rPr>
          <w:rFonts w:ascii="Arial" w:hAnsi="Arial" w:cs="Arial"/>
          <w:i/>
          <w:iCs/>
          <w:sz w:val="20"/>
          <w:szCs w:val="20"/>
        </w:rPr>
        <w:t xml:space="preserve">, premiumisation and digitisation all continue to be key trends shaping the future of eating and drinking out. </w:t>
      </w:r>
      <w:r w:rsidR="008862E1" w:rsidRPr="008862E1">
        <w:rPr>
          <w:rFonts w:ascii="Arial" w:hAnsi="Arial" w:cs="Arial"/>
          <w:i/>
          <w:iCs/>
          <w:sz w:val="20"/>
          <w:szCs w:val="20"/>
        </w:rPr>
        <w:t>Delivery</w:t>
      </w:r>
      <w:r w:rsidR="008862E1">
        <w:rPr>
          <w:rFonts w:ascii="Arial" w:hAnsi="Arial" w:cs="Arial"/>
          <w:i/>
          <w:iCs/>
          <w:sz w:val="20"/>
          <w:szCs w:val="20"/>
        </w:rPr>
        <w:t xml:space="preserve"> continues to</w:t>
      </w:r>
      <w:r w:rsidR="008862E1" w:rsidRPr="008862E1">
        <w:rPr>
          <w:rFonts w:ascii="Arial" w:hAnsi="Arial" w:cs="Arial"/>
          <w:i/>
          <w:iCs/>
          <w:sz w:val="20"/>
          <w:szCs w:val="20"/>
        </w:rPr>
        <w:t xml:space="preserve"> grow its share of the total eating out market</w:t>
      </w:r>
      <w:r w:rsidR="008862E1">
        <w:rPr>
          <w:rFonts w:ascii="Arial" w:hAnsi="Arial" w:cs="Arial"/>
          <w:i/>
          <w:iCs/>
          <w:sz w:val="20"/>
          <w:szCs w:val="20"/>
        </w:rPr>
        <w:t>.”</w:t>
      </w:r>
    </w:p>
    <w:p w14:paraId="621435A7" w14:textId="2363EF5D" w:rsidR="005E6F14" w:rsidRPr="007464CC" w:rsidRDefault="005E6F14" w:rsidP="005E6F14">
      <w:pPr>
        <w:rPr>
          <w:rFonts w:ascii="Arial" w:hAnsi="Arial" w:cs="Arial"/>
          <w:sz w:val="20"/>
          <w:szCs w:val="20"/>
        </w:rPr>
      </w:pPr>
      <w:r>
        <w:rPr>
          <w:rFonts w:ascii="Arial" w:hAnsi="Arial" w:cs="Arial"/>
          <w:sz w:val="20"/>
          <w:szCs w:val="20"/>
        </w:rPr>
        <w:t xml:space="preserve">Find out more about Lumina Intelligence’s </w:t>
      </w:r>
      <w:r w:rsidR="005E540B">
        <w:rPr>
          <w:rFonts w:ascii="Arial" w:hAnsi="Arial" w:cs="Arial"/>
          <w:sz w:val="20"/>
          <w:szCs w:val="20"/>
        </w:rPr>
        <w:t>UK Eating Out Market Report 2022</w:t>
      </w:r>
      <w:r>
        <w:rPr>
          <w:rFonts w:ascii="Arial" w:hAnsi="Arial" w:cs="Arial"/>
          <w:sz w:val="20"/>
          <w:szCs w:val="20"/>
        </w:rPr>
        <w:t xml:space="preserve"> </w:t>
      </w:r>
      <w:hyperlink r:id="rId7" w:history="1">
        <w:r w:rsidRPr="007464CC">
          <w:rPr>
            <w:rStyle w:val="Hyperlink"/>
            <w:rFonts w:ascii="Arial" w:hAnsi="Arial" w:cs="Arial"/>
            <w:sz w:val="20"/>
            <w:szCs w:val="20"/>
          </w:rPr>
          <w:t>here</w:t>
        </w:r>
      </w:hyperlink>
      <w:r>
        <w:rPr>
          <w:rFonts w:ascii="Arial" w:hAnsi="Arial" w:cs="Arial"/>
          <w:sz w:val="20"/>
          <w:szCs w:val="20"/>
        </w:rPr>
        <w:t>.</w:t>
      </w:r>
    </w:p>
    <w:p w14:paraId="3C5B2A20" w14:textId="77777777" w:rsidR="005E6F14" w:rsidRPr="00550B08" w:rsidRDefault="005E6F14" w:rsidP="005E6F14">
      <w:pPr>
        <w:rPr>
          <w:rFonts w:ascii="Arial" w:hAnsi="Arial" w:cs="Arial"/>
          <w:b/>
          <w:bCs/>
        </w:rPr>
      </w:pPr>
      <w:r w:rsidRPr="00550B08">
        <w:rPr>
          <w:rFonts w:ascii="Arial" w:hAnsi="Arial" w:cs="Arial"/>
          <w:b/>
          <w:bCs/>
        </w:rPr>
        <w:t>ENDS</w:t>
      </w:r>
    </w:p>
    <w:p w14:paraId="00739472" w14:textId="77777777" w:rsidR="001557EC" w:rsidRDefault="001557EC" w:rsidP="005E6F14">
      <w:pPr>
        <w:rPr>
          <w:rFonts w:ascii="Arial" w:hAnsi="Arial" w:cs="Arial"/>
          <w:sz w:val="20"/>
          <w:szCs w:val="20"/>
        </w:rPr>
      </w:pPr>
    </w:p>
    <w:p w14:paraId="14BE6760" w14:textId="795507C1" w:rsidR="005E6F14" w:rsidRPr="001557EC" w:rsidRDefault="002536AE" w:rsidP="005E6F14">
      <w:pPr>
        <w:rPr>
          <w:rFonts w:ascii="Arial" w:hAnsi="Arial" w:cs="Arial"/>
          <w:b/>
          <w:bCs/>
          <w:sz w:val="20"/>
          <w:szCs w:val="20"/>
        </w:rPr>
      </w:pPr>
      <w:r>
        <w:rPr>
          <w:rFonts w:ascii="Arial" w:hAnsi="Arial" w:cs="Arial"/>
          <w:b/>
          <w:bCs/>
          <w:sz w:val="20"/>
          <w:szCs w:val="20"/>
        </w:rPr>
        <w:t>UK Eating Out Market Report 2022</w:t>
      </w:r>
    </w:p>
    <w:p w14:paraId="1D83D874" w14:textId="0AC14EC9" w:rsidR="002536AE" w:rsidRDefault="002536AE" w:rsidP="002536AE">
      <w:pPr>
        <w:rPr>
          <w:rFonts w:ascii="Arial" w:hAnsi="Arial" w:cs="Arial"/>
          <w:sz w:val="20"/>
          <w:szCs w:val="20"/>
        </w:rPr>
      </w:pPr>
      <w:r w:rsidRPr="002536AE">
        <w:rPr>
          <w:rFonts w:ascii="Arial" w:hAnsi="Arial" w:cs="Arial"/>
          <w:sz w:val="20"/>
          <w:szCs w:val="20"/>
        </w:rPr>
        <w:t>Released today, this report covers the market, consumer and menu trends impacting the entire UK eating and drinking out market.</w:t>
      </w:r>
      <w:r>
        <w:rPr>
          <w:rFonts w:ascii="Arial" w:hAnsi="Arial" w:cs="Arial"/>
          <w:sz w:val="20"/>
          <w:szCs w:val="20"/>
        </w:rPr>
        <w:t xml:space="preserve"> The report consists of:</w:t>
      </w:r>
    </w:p>
    <w:p w14:paraId="1E048BBB" w14:textId="66138932" w:rsidR="002536AE" w:rsidRPr="002536AE" w:rsidRDefault="002536AE" w:rsidP="002536AE">
      <w:pPr>
        <w:pStyle w:val="ListParagraph"/>
        <w:numPr>
          <w:ilvl w:val="0"/>
          <w:numId w:val="12"/>
        </w:numPr>
        <w:rPr>
          <w:rFonts w:ascii="Arial" w:hAnsi="Arial" w:cs="Arial"/>
          <w:sz w:val="20"/>
          <w:szCs w:val="20"/>
        </w:rPr>
      </w:pPr>
      <w:r w:rsidRPr="002536AE">
        <w:rPr>
          <w:rFonts w:ascii="Arial" w:hAnsi="Arial" w:cs="Arial"/>
          <w:sz w:val="20"/>
          <w:szCs w:val="20"/>
        </w:rPr>
        <w:t>Consumer eating out behaviour data based on 78,000 surveys across the year from Lumina Intelligence’s Eating &amp; Drinking Out Panel.</w:t>
      </w:r>
    </w:p>
    <w:p w14:paraId="280C091C" w14:textId="3AEE4236" w:rsidR="002536AE" w:rsidRPr="002536AE" w:rsidRDefault="002536AE" w:rsidP="002536AE">
      <w:pPr>
        <w:pStyle w:val="ListParagraph"/>
        <w:numPr>
          <w:ilvl w:val="0"/>
          <w:numId w:val="12"/>
        </w:numPr>
        <w:rPr>
          <w:rFonts w:ascii="Arial" w:hAnsi="Arial" w:cs="Arial"/>
          <w:sz w:val="20"/>
          <w:szCs w:val="20"/>
        </w:rPr>
      </w:pPr>
      <w:r w:rsidRPr="002536AE">
        <w:rPr>
          <w:rFonts w:ascii="Arial" w:hAnsi="Arial" w:cs="Arial"/>
          <w:sz w:val="20"/>
          <w:szCs w:val="20"/>
        </w:rPr>
        <w:t>Extracts from Lumina Intelligence Operator Data Index and synthesis with wider market sizing databases.</w:t>
      </w:r>
    </w:p>
    <w:p w14:paraId="183715E5" w14:textId="6457AC2C" w:rsidR="005F1548" w:rsidRPr="002536AE" w:rsidRDefault="002536AE" w:rsidP="002536AE">
      <w:pPr>
        <w:pStyle w:val="ListParagraph"/>
        <w:numPr>
          <w:ilvl w:val="0"/>
          <w:numId w:val="12"/>
        </w:numPr>
        <w:rPr>
          <w:rFonts w:ascii="Arial" w:hAnsi="Arial" w:cs="Arial"/>
          <w:b/>
          <w:bCs/>
          <w:sz w:val="20"/>
          <w:szCs w:val="20"/>
        </w:rPr>
      </w:pPr>
      <w:r w:rsidRPr="002536AE">
        <w:rPr>
          <w:rFonts w:ascii="Arial" w:hAnsi="Arial" w:cs="Arial"/>
          <w:sz w:val="20"/>
          <w:szCs w:val="20"/>
        </w:rPr>
        <w:t>Desk research: news articles and trade press, company websites and industry associations.</w:t>
      </w:r>
    </w:p>
    <w:p w14:paraId="4CEA97D8" w14:textId="099E47D9" w:rsidR="00ED3ABD" w:rsidRPr="00550B08" w:rsidRDefault="00ED3ABD" w:rsidP="005F1548">
      <w:pPr>
        <w:rPr>
          <w:rFonts w:ascii="Arial" w:hAnsi="Arial" w:cs="Arial"/>
          <w:b/>
          <w:bCs/>
          <w:sz w:val="20"/>
          <w:szCs w:val="20"/>
        </w:rPr>
      </w:pPr>
      <w:r w:rsidRPr="00550B08">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w:t>
      </w:r>
      <w:proofErr w:type="gramStart"/>
      <w:r w:rsidRPr="001249C3">
        <w:rPr>
          <w:rFonts w:ascii="Arial" w:hAnsi="Arial" w:cs="Arial"/>
          <w:sz w:val="20"/>
          <w:szCs w:val="20"/>
        </w:rPr>
        <w:t>marketing</w:t>
      </w:r>
      <w:proofErr w:type="gramEnd"/>
      <w:r w:rsidRPr="001249C3">
        <w:rPr>
          <w:rFonts w:ascii="Arial" w:hAnsi="Arial" w:cs="Arial"/>
          <w:sz w:val="20"/>
          <w:szCs w:val="20"/>
        </w:rPr>
        <w:t xml:space="preserve">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AF18DF" w:rsidP="001249C3">
      <w:pPr>
        <w:rPr>
          <w:rFonts w:ascii="Arial" w:hAnsi="Arial" w:cs="Arial"/>
          <w:sz w:val="20"/>
          <w:szCs w:val="20"/>
        </w:rPr>
      </w:pPr>
      <w:hyperlink r:id="rId8"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91863"/>
    <w:multiLevelType w:val="hybridMultilevel"/>
    <w:tmpl w:val="7450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A5ECB"/>
    <w:multiLevelType w:val="hybridMultilevel"/>
    <w:tmpl w:val="BBA2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BC47EF"/>
    <w:multiLevelType w:val="hybridMultilevel"/>
    <w:tmpl w:val="C736F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6B7C1F"/>
    <w:multiLevelType w:val="hybridMultilevel"/>
    <w:tmpl w:val="D9FC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7E268D"/>
    <w:multiLevelType w:val="hybridMultilevel"/>
    <w:tmpl w:val="CEB8F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E956A3"/>
    <w:multiLevelType w:val="hybridMultilevel"/>
    <w:tmpl w:val="F3B2B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6F3743"/>
    <w:multiLevelType w:val="hybridMultilevel"/>
    <w:tmpl w:val="2D047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6"/>
  </w:num>
  <w:num w:numId="5">
    <w:abstractNumId w:val="3"/>
  </w:num>
  <w:num w:numId="6">
    <w:abstractNumId w:val="7"/>
  </w:num>
  <w:num w:numId="7">
    <w:abstractNumId w:val="5"/>
  </w:num>
  <w:num w:numId="8">
    <w:abstractNumId w:val="1"/>
  </w:num>
  <w:num w:numId="9">
    <w:abstractNumId w:val="0"/>
  </w:num>
  <w:num w:numId="10">
    <w:abstractNumId w:val="10"/>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36D9B"/>
    <w:rsid w:val="00050D01"/>
    <w:rsid w:val="00051983"/>
    <w:rsid w:val="00053A7D"/>
    <w:rsid w:val="00072404"/>
    <w:rsid w:val="000809E0"/>
    <w:rsid w:val="00091667"/>
    <w:rsid w:val="000F1972"/>
    <w:rsid w:val="00107E2B"/>
    <w:rsid w:val="00113451"/>
    <w:rsid w:val="00116246"/>
    <w:rsid w:val="001249C3"/>
    <w:rsid w:val="00134B6F"/>
    <w:rsid w:val="00135574"/>
    <w:rsid w:val="001557EC"/>
    <w:rsid w:val="00170061"/>
    <w:rsid w:val="00195F54"/>
    <w:rsid w:val="001A3D4E"/>
    <w:rsid w:val="001B3CF2"/>
    <w:rsid w:val="001B4688"/>
    <w:rsid w:val="001C15D9"/>
    <w:rsid w:val="001C50C1"/>
    <w:rsid w:val="001C5B98"/>
    <w:rsid w:val="001C65B6"/>
    <w:rsid w:val="001C7BF1"/>
    <w:rsid w:val="001D4D35"/>
    <w:rsid w:val="00214D95"/>
    <w:rsid w:val="00216F72"/>
    <w:rsid w:val="00240CAC"/>
    <w:rsid w:val="002536AE"/>
    <w:rsid w:val="002578EA"/>
    <w:rsid w:val="00261F91"/>
    <w:rsid w:val="00297C15"/>
    <w:rsid w:val="002A0F0F"/>
    <w:rsid w:val="002E22C9"/>
    <w:rsid w:val="002E7454"/>
    <w:rsid w:val="002F089D"/>
    <w:rsid w:val="002F0BB4"/>
    <w:rsid w:val="002F7EAF"/>
    <w:rsid w:val="00302E10"/>
    <w:rsid w:val="00312F51"/>
    <w:rsid w:val="00323BE2"/>
    <w:rsid w:val="00346F0A"/>
    <w:rsid w:val="00353262"/>
    <w:rsid w:val="00363346"/>
    <w:rsid w:val="003A12EB"/>
    <w:rsid w:val="003C4BB2"/>
    <w:rsid w:val="003E204B"/>
    <w:rsid w:val="00410EFD"/>
    <w:rsid w:val="00414095"/>
    <w:rsid w:val="0041755B"/>
    <w:rsid w:val="0044412F"/>
    <w:rsid w:val="004579C4"/>
    <w:rsid w:val="00481042"/>
    <w:rsid w:val="004943E4"/>
    <w:rsid w:val="004B3902"/>
    <w:rsid w:val="004C063F"/>
    <w:rsid w:val="004C2B82"/>
    <w:rsid w:val="004C5456"/>
    <w:rsid w:val="004C6C47"/>
    <w:rsid w:val="004D23F6"/>
    <w:rsid w:val="004E551E"/>
    <w:rsid w:val="004E5767"/>
    <w:rsid w:val="004F1FF8"/>
    <w:rsid w:val="0051728A"/>
    <w:rsid w:val="00520307"/>
    <w:rsid w:val="00532305"/>
    <w:rsid w:val="00540E50"/>
    <w:rsid w:val="00550B08"/>
    <w:rsid w:val="0055150D"/>
    <w:rsid w:val="005522E6"/>
    <w:rsid w:val="00553497"/>
    <w:rsid w:val="00554471"/>
    <w:rsid w:val="00566CAE"/>
    <w:rsid w:val="0059063E"/>
    <w:rsid w:val="005A2368"/>
    <w:rsid w:val="005A4855"/>
    <w:rsid w:val="005B7E51"/>
    <w:rsid w:val="005E540B"/>
    <w:rsid w:val="005E6F14"/>
    <w:rsid w:val="005F1548"/>
    <w:rsid w:val="00604B4A"/>
    <w:rsid w:val="0061620B"/>
    <w:rsid w:val="0062209E"/>
    <w:rsid w:val="00624D3B"/>
    <w:rsid w:val="0064772D"/>
    <w:rsid w:val="0065536E"/>
    <w:rsid w:val="006562DA"/>
    <w:rsid w:val="00664850"/>
    <w:rsid w:val="00690437"/>
    <w:rsid w:val="00691E88"/>
    <w:rsid w:val="006D5409"/>
    <w:rsid w:val="006E75AA"/>
    <w:rsid w:val="006E79FF"/>
    <w:rsid w:val="006F447C"/>
    <w:rsid w:val="00720ABB"/>
    <w:rsid w:val="007221DF"/>
    <w:rsid w:val="007229E3"/>
    <w:rsid w:val="00725D81"/>
    <w:rsid w:val="007337FD"/>
    <w:rsid w:val="007402DC"/>
    <w:rsid w:val="007446FD"/>
    <w:rsid w:val="007451F1"/>
    <w:rsid w:val="00747CEC"/>
    <w:rsid w:val="00755025"/>
    <w:rsid w:val="0076037A"/>
    <w:rsid w:val="00771CEB"/>
    <w:rsid w:val="007854AB"/>
    <w:rsid w:val="007A216E"/>
    <w:rsid w:val="007A50F0"/>
    <w:rsid w:val="007B327D"/>
    <w:rsid w:val="007C2AE1"/>
    <w:rsid w:val="007D197C"/>
    <w:rsid w:val="007F3C85"/>
    <w:rsid w:val="00813785"/>
    <w:rsid w:val="00822603"/>
    <w:rsid w:val="008249B4"/>
    <w:rsid w:val="008276B8"/>
    <w:rsid w:val="00831A17"/>
    <w:rsid w:val="00832CF9"/>
    <w:rsid w:val="008355EF"/>
    <w:rsid w:val="00846DDB"/>
    <w:rsid w:val="008542EC"/>
    <w:rsid w:val="00856858"/>
    <w:rsid w:val="00862CCB"/>
    <w:rsid w:val="00882EC4"/>
    <w:rsid w:val="008862E1"/>
    <w:rsid w:val="00887A6F"/>
    <w:rsid w:val="00897AEF"/>
    <w:rsid w:val="008A46AD"/>
    <w:rsid w:val="008C2F28"/>
    <w:rsid w:val="008D4655"/>
    <w:rsid w:val="008D5C4F"/>
    <w:rsid w:val="008E0CD4"/>
    <w:rsid w:val="008E1A01"/>
    <w:rsid w:val="008E317A"/>
    <w:rsid w:val="008E4E24"/>
    <w:rsid w:val="008E5A63"/>
    <w:rsid w:val="008E65E2"/>
    <w:rsid w:val="009400D0"/>
    <w:rsid w:val="00946C1D"/>
    <w:rsid w:val="009561EC"/>
    <w:rsid w:val="00963A13"/>
    <w:rsid w:val="00970A81"/>
    <w:rsid w:val="00984842"/>
    <w:rsid w:val="009A6775"/>
    <w:rsid w:val="009C3668"/>
    <w:rsid w:val="009C613A"/>
    <w:rsid w:val="009D1543"/>
    <w:rsid w:val="00A26420"/>
    <w:rsid w:val="00A70FE3"/>
    <w:rsid w:val="00A82991"/>
    <w:rsid w:val="00A90A13"/>
    <w:rsid w:val="00A935A1"/>
    <w:rsid w:val="00A973D5"/>
    <w:rsid w:val="00AA4D4A"/>
    <w:rsid w:val="00AD236E"/>
    <w:rsid w:val="00AD5880"/>
    <w:rsid w:val="00AE6B2F"/>
    <w:rsid w:val="00AF18DF"/>
    <w:rsid w:val="00AF582F"/>
    <w:rsid w:val="00B02829"/>
    <w:rsid w:val="00B06987"/>
    <w:rsid w:val="00B06B5C"/>
    <w:rsid w:val="00B414CE"/>
    <w:rsid w:val="00B43838"/>
    <w:rsid w:val="00B46E6F"/>
    <w:rsid w:val="00B54F43"/>
    <w:rsid w:val="00B616DB"/>
    <w:rsid w:val="00B62989"/>
    <w:rsid w:val="00B833AA"/>
    <w:rsid w:val="00BA2478"/>
    <w:rsid w:val="00BB34D9"/>
    <w:rsid w:val="00BB4747"/>
    <w:rsid w:val="00BC785A"/>
    <w:rsid w:val="00C16ADB"/>
    <w:rsid w:val="00C176BD"/>
    <w:rsid w:val="00C270FD"/>
    <w:rsid w:val="00C30C1F"/>
    <w:rsid w:val="00C362C9"/>
    <w:rsid w:val="00C4785A"/>
    <w:rsid w:val="00C545F0"/>
    <w:rsid w:val="00C77C17"/>
    <w:rsid w:val="00C86028"/>
    <w:rsid w:val="00CA6670"/>
    <w:rsid w:val="00CD419B"/>
    <w:rsid w:val="00CE6B8A"/>
    <w:rsid w:val="00D050B7"/>
    <w:rsid w:val="00D25202"/>
    <w:rsid w:val="00D308D1"/>
    <w:rsid w:val="00D47355"/>
    <w:rsid w:val="00D70BA2"/>
    <w:rsid w:val="00D7181B"/>
    <w:rsid w:val="00DA434C"/>
    <w:rsid w:val="00DB062C"/>
    <w:rsid w:val="00DD2B3E"/>
    <w:rsid w:val="00DF16AF"/>
    <w:rsid w:val="00DF6CC2"/>
    <w:rsid w:val="00E14675"/>
    <w:rsid w:val="00E214AC"/>
    <w:rsid w:val="00E25B65"/>
    <w:rsid w:val="00E3222E"/>
    <w:rsid w:val="00E56A95"/>
    <w:rsid w:val="00E72427"/>
    <w:rsid w:val="00E734FF"/>
    <w:rsid w:val="00E800EF"/>
    <w:rsid w:val="00EA1B39"/>
    <w:rsid w:val="00EB365A"/>
    <w:rsid w:val="00ED2C5E"/>
    <w:rsid w:val="00ED3ABD"/>
    <w:rsid w:val="00EE28D1"/>
    <w:rsid w:val="00EF7048"/>
    <w:rsid w:val="00F10F0C"/>
    <w:rsid w:val="00F16921"/>
    <w:rsid w:val="00F44CD2"/>
    <w:rsid w:val="00F744AB"/>
    <w:rsid w:val="00F74791"/>
    <w:rsid w:val="00F74BDC"/>
    <w:rsid w:val="00FB2C7F"/>
    <w:rsid w:val="00FC1A9F"/>
    <w:rsid w:val="00FE11D3"/>
    <w:rsid w:val="00FE5FD3"/>
    <w:rsid w:val="44DF0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 w:type="paragraph" w:styleId="Revision">
    <w:name w:val="Revision"/>
    <w:hidden/>
    <w:uiPriority w:val="99"/>
    <w:semiHidden/>
    <w:rsid w:val="008E1A01"/>
    <w:pPr>
      <w:spacing w:after="0" w:line="240" w:lineRule="auto"/>
    </w:pPr>
  </w:style>
  <w:style w:type="table" w:styleId="TableGrid">
    <w:name w:val="Table Grid"/>
    <w:basedOn w:val="TableNormal"/>
    <w:uiPriority w:val="39"/>
    <w:rsid w:val="00622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 TargetMode="External"/><Relationship Id="rId3" Type="http://schemas.openxmlformats.org/officeDocument/2006/relationships/settings" Target="settings.xml"/><Relationship Id="rId7" Type="http://schemas.openxmlformats.org/officeDocument/2006/relationships/hyperlink" Target="https://store.lumina-intelligence.com/product/uk-eating-out-market-report-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orgio.rigali@lumina-intelligence.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1042</Words>
  <Characters>5943</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2</cp:revision>
  <dcterms:created xsi:type="dcterms:W3CDTF">2022-06-09T15:12:00Z</dcterms:created>
  <dcterms:modified xsi:type="dcterms:W3CDTF">2022-06-09T15:12:00Z</dcterms:modified>
</cp:coreProperties>
</file>