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080EF972" w:rsidR="00ED3ABD" w:rsidRDefault="009627CB" w:rsidP="00ED3ABD">
      <w:pPr>
        <w:spacing w:after="0" w:line="240" w:lineRule="auto"/>
        <w:rPr>
          <w:rFonts w:ascii="Arial" w:hAnsi="Arial" w:cs="Arial"/>
          <w:b/>
          <w:bCs/>
          <w:sz w:val="18"/>
          <w:szCs w:val="18"/>
        </w:rPr>
      </w:pPr>
      <w:hyperlink r:id="rId6" w:history="1">
        <w:r w:rsidR="008355EF" w:rsidRPr="00670A7F">
          <w:rPr>
            <w:rStyle w:val="Hyperlink"/>
            <w:rFonts w:ascii="Arial" w:hAnsi="Arial" w:cs="Arial"/>
            <w:b/>
            <w:bCs/>
            <w:sz w:val="18"/>
            <w:szCs w:val="18"/>
          </w:rPr>
          <w:t>Giorgio.rigali@lumina-intelligence.com</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F960B40" w:rsidR="00ED3ABD" w:rsidRPr="00550B08" w:rsidRDefault="00FF492C"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21</w:t>
      </w:r>
      <w:r w:rsidR="008E65E2">
        <w:rPr>
          <w:rStyle w:val="Hyperlink"/>
          <w:rFonts w:ascii="Arial" w:hAnsi="Arial" w:cs="Arial"/>
          <w:b/>
          <w:bCs/>
          <w:color w:val="505050"/>
          <w:sz w:val="18"/>
          <w:szCs w:val="18"/>
          <w:u w:val="none"/>
        </w:rPr>
        <w:t xml:space="preserve"> </w:t>
      </w:r>
      <w:r w:rsidR="00B62989">
        <w:rPr>
          <w:rStyle w:val="Hyperlink"/>
          <w:rFonts w:ascii="Arial" w:hAnsi="Arial" w:cs="Arial"/>
          <w:b/>
          <w:bCs/>
          <w:color w:val="505050"/>
          <w:sz w:val="18"/>
          <w:szCs w:val="18"/>
          <w:u w:val="none"/>
        </w:rPr>
        <w:t>June</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E65E2">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502C0A40" w14:textId="4C74CE8D" w:rsidR="00053A7D" w:rsidRDefault="00FF492C" w:rsidP="00053A7D">
      <w:pPr>
        <w:jc w:val="center"/>
        <w:rPr>
          <w:rFonts w:ascii="Arial" w:hAnsi="Arial" w:cs="Arial"/>
          <w:b/>
          <w:bCs/>
          <w:sz w:val="32"/>
          <w:szCs w:val="32"/>
        </w:rPr>
      </w:pPr>
      <w:r>
        <w:rPr>
          <w:rFonts w:ascii="Arial" w:hAnsi="Arial" w:cs="Arial"/>
          <w:b/>
          <w:bCs/>
          <w:sz w:val="32"/>
          <w:szCs w:val="32"/>
        </w:rPr>
        <w:t>Pubs regain share of dinner occasions and drive higher spend</w:t>
      </w:r>
    </w:p>
    <w:p w14:paraId="51E595B5" w14:textId="28C99533" w:rsidR="00FF492C" w:rsidRDefault="009400D0" w:rsidP="00A973D5">
      <w:pPr>
        <w:rPr>
          <w:rFonts w:ascii="Arial" w:hAnsi="Arial" w:cs="Arial"/>
          <w:sz w:val="20"/>
          <w:szCs w:val="20"/>
        </w:rPr>
      </w:pPr>
      <w:r w:rsidRPr="009400D0">
        <w:rPr>
          <w:rFonts w:ascii="Arial" w:hAnsi="Arial" w:cs="Arial"/>
          <w:sz w:val="20"/>
          <w:szCs w:val="20"/>
        </w:rPr>
        <w:t xml:space="preserve">According to </w:t>
      </w:r>
      <w:r w:rsidR="00FF492C">
        <w:rPr>
          <w:rFonts w:ascii="Arial" w:hAnsi="Arial" w:cs="Arial"/>
          <w:sz w:val="20"/>
          <w:szCs w:val="20"/>
        </w:rPr>
        <w:t>data from</w:t>
      </w:r>
      <w:r w:rsidR="00B62989">
        <w:rPr>
          <w:rFonts w:ascii="Arial" w:hAnsi="Arial" w:cs="Arial"/>
          <w:sz w:val="20"/>
          <w:szCs w:val="20"/>
        </w:rPr>
        <w:t xml:space="preserve"> </w:t>
      </w:r>
      <w:r w:rsidR="0062209E">
        <w:rPr>
          <w:rFonts w:ascii="Arial" w:hAnsi="Arial" w:cs="Arial"/>
          <w:sz w:val="20"/>
          <w:szCs w:val="20"/>
        </w:rPr>
        <w:t>Lumina Intelligence</w:t>
      </w:r>
      <w:r w:rsidR="00FF492C">
        <w:rPr>
          <w:rFonts w:ascii="Arial" w:hAnsi="Arial" w:cs="Arial"/>
          <w:sz w:val="20"/>
          <w:szCs w:val="20"/>
        </w:rPr>
        <w:t>’s Eating &amp; Drinking Out Panel, in 12 weeks ending (12WE) 15/05/2022, pubs had a 13.9% share of total dinner occasions across the eating out market – up +1.3ppts vs. 12WE 20/02/2022.</w:t>
      </w:r>
    </w:p>
    <w:p w14:paraId="32B47667" w14:textId="71E70710" w:rsidR="0079412D" w:rsidRDefault="00FF492C" w:rsidP="0079412D">
      <w:pPr>
        <w:rPr>
          <w:rFonts w:ascii="Arial" w:hAnsi="Arial" w:cs="Arial"/>
          <w:sz w:val="20"/>
          <w:szCs w:val="20"/>
        </w:rPr>
      </w:pPr>
      <w:r>
        <w:rPr>
          <w:rFonts w:ascii="Arial" w:hAnsi="Arial" w:cs="Arial"/>
          <w:sz w:val="20"/>
          <w:szCs w:val="20"/>
        </w:rPr>
        <w:t xml:space="preserve">In the same period, average spend at dinner per consumer was </w:t>
      </w:r>
      <w:r w:rsidR="0079412D">
        <w:rPr>
          <w:rFonts w:ascii="Arial" w:hAnsi="Arial" w:cs="Arial"/>
          <w:sz w:val="20"/>
          <w:szCs w:val="20"/>
        </w:rPr>
        <w:t xml:space="preserve">£21.60, and increase of +10% versus the previous period. </w:t>
      </w:r>
      <w:r w:rsidR="0079412D" w:rsidRPr="0079412D">
        <w:rPr>
          <w:rFonts w:ascii="Arial" w:hAnsi="Arial" w:cs="Arial"/>
          <w:sz w:val="20"/>
          <w:szCs w:val="20"/>
        </w:rPr>
        <w:t xml:space="preserve">Spend at dinner is up in the majority of channels, </w:t>
      </w:r>
      <w:r w:rsidR="0079412D">
        <w:rPr>
          <w:rFonts w:ascii="Arial" w:hAnsi="Arial" w:cs="Arial"/>
          <w:sz w:val="20"/>
          <w:szCs w:val="20"/>
        </w:rPr>
        <w:t xml:space="preserve">with </w:t>
      </w:r>
      <w:r w:rsidR="0079412D" w:rsidRPr="0079412D">
        <w:rPr>
          <w:rFonts w:ascii="Arial" w:hAnsi="Arial" w:cs="Arial"/>
          <w:sz w:val="20"/>
          <w:szCs w:val="20"/>
        </w:rPr>
        <w:t>restaurants</w:t>
      </w:r>
      <w:r w:rsidR="0079412D">
        <w:rPr>
          <w:rFonts w:ascii="Arial" w:hAnsi="Arial" w:cs="Arial"/>
          <w:sz w:val="20"/>
          <w:szCs w:val="20"/>
        </w:rPr>
        <w:t xml:space="preserve"> seeing an increase of</w:t>
      </w:r>
      <w:r w:rsidR="0079412D" w:rsidRPr="0079412D">
        <w:rPr>
          <w:rFonts w:ascii="Arial" w:hAnsi="Arial" w:cs="Arial"/>
          <w:sz w:val="20"/>
          <w:szCs w:val="20"/>
        </w:rPr>
        <w:t xml:space="preserve"> +3% in the latest quarter</w:t>
      </w:r>
      <w:r w:rsidR="0079412D">
        <w:rPr>
          <w:rFonts w:ascii="Arial" w:hAnsi="Arial" w:cs="Arial"/>
          <w:sz w:val="20"/>
          <w:szCs w:val="20"/>
        </w:rPr>
        <w:t>, however it is pubs that have seen the biggest increase.</w:t>
      </w:r>
      <w:r w:rsidR="0079412D" w:rsidRPr="0079412D">
        <w:rPr>
          <w:rFonts w:ascii="Arial" w:hAnsi="Arial" w:cs="Arial"/>
          <w:sz w:val="20"/>
          <w:szCs w:val="20"/>
        </w:rPr>
        <w:t xml:space="preserve">  </w:t>
      </w:r>
    </w:p>
    <w:p w14:paraId="586D91BA" w14:textId="1FADA6C4" w:rsidR="00FF492C" w:rsidRDefault="0079412D" w:rsidP="0079412D">
      <w:pPr>
        <w:rPr>
          <w:rFonts w:ascii="Arial" w:hAnsi="Arial" w:cs="Arial"/>
          <w:sz w:val="20"/>
          <w:szCs w:val="20"/>
        </w:rPr>
      </w:pPr>
      <w:r w:rsidRPr="0079412D">
        <w:rPr>
          <w:rFonts w:ascii="Arial" w:hAnsi="Arial" w:cs="Arial"/>
          <w:sz w:val="20"/>
          <w:szCs w:val="20"/>
        </w:rPr>
        <w:t>These increases are partially driven by high inflation</w:t>
      </w:r>
      <w:r>
        <w:rPr>
          <w:rFonts w:ascii="Arial" w:hAnsi="Arial" w:cs="Arial"/>
          <w:sz w:val="20"/>
          <w:szCs w:val="20"/>
        </w:rPr>
        <w:t>, but also a rise in</w:t>
      </w:r>
      <w:r w:rsidRPr="0079412D">
        <w:rPr>
          <w:rFonts w:ascii="Arial" w:hAnsi="Arial" w:cs="Arial"/>
          <w:sz w:val="20"/>
          <w:szCs w:val="20"/>
        </w:rPr>
        <w:t xml:space="preserve"> consumers trading up on less frequent dinner occasions. </w:t>
      </w:r>
    </w:p>
    <w:p w14:paraId="77AD4D0E" w14:textId="4E71FD28" w:rsidR="003E7CE8" w:rsidRPr="0079412D" w:rsidRDefault="003E7CE8" w:rsidP="0079412D">
      <w:pPr>
        <w:rPr>
          <w:rFonts w:ascii="Arial" w:hAnsi="Arial" w:cs="Arial"/>
          <w:b/>
          <w:bCs/>
        </w:rPr>
      </w:pPr>
      <w:r>
        <w:rPr>
          <w:rFonts w:ascii="Arial" w:hAnsi="Arial" w:cs="Arial"/>
          <w:b/>
          <w:bCs/>
        </w:rPr>
        <w:t>Spirits drinkers purchase more and spend more</w:t>
      </w:r>
    </w:p>
    <w:p w14:paraId="219E2B5D" w14:textId="004FA127" w:rsidR="003E7CE8" w:rsidRDefault="003E7CE8" w:rsidP="003E7CE8">
      <w:pPr>
        <w:rPr>
          <w:rFonts w:ascii="Arial" w:hAnsi="Arial" w:cs="Arial"/>
          <w:sz w:val="20"/>
          <w:szCs w:val="20"/>
        </w:rPr>
      </w:pPr>
      <w:r>
        <w:rPr>
          <w:rFonts w:ascii="Arial" w:hAnsi="Arial" w:cs="Arial"/>
          <w:sz w:val="20"/>
          <w:szCs w:val="20"/>
        </w:rPr>
        <w:t xml:space="preserve">On average, consumers purchase between </w:t>
      </w:r>
      <w:r w:rsidRPr="003E7CE8">
        <w:rPr>
          <w:rFonts w:ascii="Arial" w:hAnsi="Arial" w:cs="Arial"/>
          <w:sz w:val="20"/>
          <w:szCs w:val="20"/>
        </w:rPr>
        <w:t>2</w:t>
      </w:r>
      <w:r>
        <w:rPr>
          <w:rFonts w:ascii="Arial" w:hAnsi="Arial" w:cs="Arial"/>
          <w:sz w:val="20"/>
          <w:szCs w:val="20"/>
        </w:rPr>
        <w:t>-</w:t>
      </w:r>
      <w:r w:rsidRPr="003E7CE8">
        <w:rPr>
          <w:rFonts w:ascii="Arial" w:hAnsi="Arial" w:cs="Arial"/>
          <w:sz w:val="20"/>
          <w:szCs w:val="20"/>
        </w:rPr>
        <w:t xml:space="preserve">3 alcoholic drinks per </w:t>
      </w:r>
      <w:r>
        <w:rPr>
          <w:rFonts w:ascii="Arial" w:hAnsi="Arial" w:cs="Arial"/>
          <w:sz w:val="20"/>
          <w:szCs w:val="20"/>
        </w:rPr>
        <w:t xml:space="preserve">eating out occasion, </w:t>
      </w:r>
      <w:r w:rsidRPr="003E7CE8">
        <w:rPr>
          <w:rFonts w:ascii="Arial" w:hAnsi="Arial" w:cs="Arial"/>
          <w:sz w:val="20"/>
          <w:szCs w:val="20"/>
        </w:rPr>
        <w:t>whether it</w:t>
      </w:r>
      <w:r>
        <w:rPr>
          <w:rFonts w:ascii="Arial" w:hAnsi="Arial" w:cs="Arial"/>
          <w:sz w:val="20"/>
          <w:szCs w:val="20"/>
        </w:rPr>
        <w:t xml:space="preserve"> is</w:t>
      </w:r>
      <w:r w:rsidRPr="003E7CE8">
        <w:rPr>
          <w:rFonts w:ascii="Arial" w:hAnsi="Arial" w:cs="Arial"/>
          <w:sz w:val="20"/>
          <w:szCs w:val="20"/>
        </w:rPr>
        <w:t xml:space="preserve"> by itself or with food. </w:t>
      </w:r>
    </w:p>
    <w:p w14:paraId="09E60520" w14:textId="03AC50C3" w:rsidR="003E7CE8" w:rsidRPr="003E7CE8" w:rsidRDefault="003E7CE8" w:rsidP="003E7CE8">
      <w:pPr>
        <w:rPr>
          <w:rFonts w:ascii="Arial" w:hAnsi="Arial" w:cs="Arial"/>
          <w:sz w:val="20"/>
          <w:szCs w:val="20"/>
        </w:rPr>
      </w:pPr>
      <w:r>
        <w:rPr>
          <w:rFonts w:ascii="Arial" w:hAnsi="Arial" w:cs="Arial"/>
          <w:sz w:val="20"/>
          <w:szCs w:val="20"/>
        </w:rPr>
        <w:t>Spirits drinkers drink the most drinks per sitting – on average 2.55 drinks per occasion</w:t>
      </w:r>
      <w:r w:rsidR="00843DD6">
        <w:rPr>
          <w:rFonts w:ascii="Arial" w:hAnsi="Arial" w:cs="Arial"/>
          <w:sz w:val="20"/>
          <w:szCs w:val="20"/>
        </w:rPr>
        <w:t xml:space="preserve"> in the 12WE 15/05/2022</w:t>
      </w:r>
      <w:r>
        <w:rPr>
          <w:rFonts w:ascii="Arial" w:hAnsi="Arial" w:cs="Arial"/>
          <w:sz w:val="20"/>
          <w:szCs w:val="20"/>
        </w:rPr>
        <w:t>. This is followed by 2.54 for beer drinkers and 1.97 for wine drinkers.</w:t>
      </w:r>
      <w:r w:rsidR="00843DD6">
        <w:rPr>
          <w:rFonts w:ascii="Arial" w:hAnsi="Arial" w:cs="Arial"/>
          <w:sz w:val="20"/>
          <w:szCs w:val="20"/>
        </w:rPr>
        <w:t xml:space="preserve"> Versus the previous 12 week period, this is a +4% increase for spirits, -1% decline for beer and -2% decline for wine. </w:t>
      </w:r>
    </w:p>
    <w:p w14:paraId="4BF24E2D" w14:textId="4313CBBB" w:rsidR="003E7CE8" w:rsidRDefault="00843DD6" w:rsidP="003E7CE8">
      <w:pPr>
        <w:rPr>
          <w:rFonts w:ascii="Arial" w:hAnsi="Arial" w:cs="Arial"/>
          <w:sz w:val="20"/>
          <w:szCs w:val="20"/>
        </w:rPr>
      </w:pPr>
      <w:r>
        <w:rPr>
          <w:rFonts w:ascii="Arial" w:hAnsi="Arial" w:cs="Arial"/>
          <w:sz w:val="20"/>
          <w:szCs w:val="20"/>
        </w:rPr>
        <w:t xml:space="preserve">On average, </w:t>
      </w:r>
      <w:r w:rsidR="00EA61B6">
        <w:rPr>
          <w:rFonts w:ascii="Arial" w:hAnsi="Arial" w:cs="Arial"/>
          <w:sz w:val="20"/>
          <w:szCs w:val="20"/>
        </w:rPr>
        <w:t xml:space="preserve">in the 12WE 15/05/2022, </w:t>
      </w:r>
      <w:r>
        <w:rPr>
          <w:rFonts w:ascii="Arial" w:hAnsi="Arial" w:cs="Arial"/>
          <w:sz w:val="20"/>
          <w:szCs w:val="20"/>
        </w:rPr>
        <w:t xml:space="preserve">alcohol drinkers spend </w:t>
      </w:r>
      <w:r w:rsidR="00EA61B6">
        <w:rPr>
          <w:rFonts w:ascii="Arial" w:hAnsi="Arial" w:cs="Arial"/>
          <w:sz w:val="20"/>
          <w:szCs w:val="20"/>
        </w:rPr>
        <w:t xml:space="preserve">£10.98 on drinks per visit - -3.2% down on the previous 12 weeks (12WE 20/02/2022). When we analyse this by drink type, </w:t>
      </w:r>
      <w:r w:rsidR="000F2D30">
        <w:rPr>
          <w:rFonts w:ascii="Arial" w:hAnsi="Arial" w:cs="Arial"/>
          <w:sz w:val="20"/>
          <w:szCs w:val="20"/>
        </w:rPr>
        <w:t>we see a decline across both beer and wine, but a +10.1% increase in spend from spirits drinkers:</w:t>
      </w:r>
    </w:p>
    <w:tbl>
      <w:tblPr>
        <w:tblStyle w:val="TableGrid"/>
        <w:tblW w:w="0" w:type="auto"/>
        <w:tblLook w:val="04A0" w:firstRow="1" w:lastRow="0" w:firstColumn="1" w:lastColumn="0" w:noHBand="0" w:noVBand="1"/>
      </w:tblPr>
      <w:tblGrid>
        <w:gridCol w:w="1271"/>
        <w:gridCol w:w="1701"/>
        <w:gridCol w:w="3119"/>
      </w:tblGrid>
      <w:tr w:rsidR="000F2D30" w14:paraId="5FE09BB8" w14:textId="77777777" w:rsidTr="000F2D30">
        <w:tc>
          <w:tcPr>
            <w:tcW w:w="1271" w:type="dxa"/>
            <w:shd w:val="clear" w:color="auto" w:fill="44546A" w:themeFill="text2"/>
          </w:tcPr>
          <w:p w14:paraId="5EA54F48" w14:textId="023D824A" w:rsidR="000F2D30" w:rsidRPr="000F2D30" w:rsidRDefault="000F2D30" w:rsidP="000F2D30">
            <w:pPr>
              <w:jc w:val="center"/>
              <w:rPr>
                <w:rFonts w:ascii="Arial" w:hAnsi="Arial" w:cs="Arial"/>
                <w:b/>
                <w:bCs/>
                <w:color w:val="FFFFFF" w:themeColor="background1"/>
                <w:sz w:val="20"/>
                <w:szCs w:val="20"/>
              </w:rPr>
            </w:pPr>
            <w:r w:rsidRPr="000F2D30">
              <w:rPr>
                <w:rFonts w:ascii="Arial" w:hAnsi="Arial" w:cs="Arial"/>
                <w:b/>
                <w:bCs/>
                <w:color w:val="FFFFFF" w:themeColor="background1"/>
                <w:sz w:val="20"/>
                <w:szCs w:val="20"/>
              </w:rPr>
              <w:t>Drink type</w:t>
            </w:r>
          </w:p>
        </w:tc>
        <w:tc>
          <w:tcPr>
            <w:tcW w:w="1701" w:type="dxa"/>
            <w:shd w:val="clear" w:color="auto" w:fill="44546A" w:themeFill="text2"/>
          </w:tcPr>
          <w:p w14:paraId="06DF6396" w14:textId="378BA87B" w:rsidR="000F2D30" w:rsidRPr="000F2D30" w:rsidRDefault="000F2D30" w:rsidP="000F2D30">
            <w:pPr>
              <w:jc w:val="center"/>
              <w:rPr>
                <w:rFonts w:ascii="Arial" w:hAnsi="Arial" w:cs="Arial"/>
                <w:b/>
                <w:bCs/>
                <w:color w:val="FFFFFF" w:themeColor="background1"/>
                <w:sz w:val="20"/>
                <w:szCs w:val="20"/>
              </w:rPr>
            </w:pPr>
            <w:r>
              <w:rPr>
                <w:rFonts w:ascii="Arial" w:hAnsi="Arial" w:cs="Arial"/>
                <w:b/>
                <w:bCs/>
                <w:color w:val="FFFFFF" w:themeColor="background1"/>
                <w:sz w:val="20"/>
                <w:szCs w:val="20"/>
              </w:rPr>
              <w:t>Spend per visit</w:t>
            </w:r>
          </w:p>
        </w:tc>
        <w:tc>
          <w:tcPr>
            <w:tcW w:w="3119" w:type="dxa"/>
            <w:shd w:val="clear" w:color="auto" w:fill="44546A" w:themeFill="text2"/>
          </w:tcPr>
          <w:p w14:paraId="42FC3095" w14:textId="173CA2BA" w:rsidR="000F2D30" w:rsidRPr="000F2D30" w:rsidRDefault="000F2D30" w:rsidP="000F2D30">
            <w:pPr>
              <w:jc w:val="center"/>
              <w:rPr>
                <w:rFonts w:ascii="Arial" w:hAnsi="Arial" w:cs="Arial"/>
                <w:b/>
                <w:bCs/>
                <w:color w:val="FFFFFF" w:themeColor="background1"/>
                <w:sz w:val="20"/>
                <w:szCs w:val="20"/>
              </w:rPr>
            </w:pPr>
            <w:r>
              <w:rPr>
                <w:rFonts w:ascii="Arial" w:hAnsi="Arial" w:cs="Arial"/>
                <w:b/>
                <w:bCs/>
                <w:color w:val="FFFFFF" w:themeColor="background1"/>
                <w:sz w:val="20"/>
                <w:szCs w:val="20"/>
              </w:rPr>
              <w:t>% change vs 12WE 20/02/2022</w:t>
            </w:r>
          </w:p>
        </w:tc>
      </w:tr>
      <w:tr w:rsidR="000F2D30" w14:paraId="7A6AD118" w14:textId="77777777" w:rsidTr="000F2D30">
        <w:tc>
          <w:tcPr>
            <w:tcW w:w="1271" w:type="dxa"/>
          </w:tcPr>
          <w:p w14:paraId="46C2C8A5" w14:textId="064DE052" w:rsidR="000F2D30" w:rsidRDefault="000F2D30" w:rsidP="003E7CE8">
            <w:pPr>
              <w:rPr>
                <w:rFonts w:ascii="Arial" w:hAnsi="Arial" w:cs="Arial"/>
                <w:sz w:val="20"/>
                <w:szCs w:val="20"/>
              </w:rPr>
            </w:pPr>
            <w:r>
              <w:rPr>
                <w:rFonts w:ascii="Arial" w:hAnsi="Arial" w:cs="Arial"/>
                <w:sz w:val="20"/>
                <w:szCs w:val="20"/>
              </w:rPr>
              <w:t>Beer</w:t>
            </w:r>
          </w:p>
        </w:tc>
        <w:tc>
          <w:tcPr>
            <w:tcW w:w="1701" w:type="dxa"/>
          </w:tcPr>
          <w:p w14:paraId="399843E0" w14:textId="17971DDB" w:rsidR="000F2D30" w:rsidRDefault="000F2D30" w:rsidP="000F2D30">
            <w:pPr>
              <w:jc w:val="center"/>
              <w:rPr>
                <w:rFonts w:ascii="Arial" w:hAnsi="Arial" w:cs="Arial"/>
                <w:sz w:val="20"/>
                <w:szCs w:val="20"/>
              </w:rPr>
            </w:pPr>
            <w:r>
              <w:rPr>
                <w:rFonts w:ascii="Arial" w:hAnsi="Arial" w:cs="Arial"/>
                <w:sz w:val="20"/>
                <w:szCs w:val="20"/>
              </w:rPr>
              <w:t>£10.46</w:t>
            </w:r>
          </w:p>
        </w:tc>
        <w:tc>
          <w:tcPr>
            <w:tcW w:w="3119" w:type="dxa"/>
            <w:shd w:val="clear" w:color="auto" w:fill="FF0000"/>
          </w:tcPr>
          <w:p w14:paraId="2170AB5D" w14:textId="17DB5558" w:rsidR="000F2D30" w:rsidRDefault="000F2D30" w:rsidP="000F2D30">
            <w:pPr>
              <w:jc w:val="center"/>
              <w:rPr>
                <w:rFonts w:ascii="Arial" w:hAnsi="Arial" w:cs="Arial"/>
                <w:sz w:val="20"/>
                <w:szCs w:val="20"/>
              </w:rPr>
            </w:pPr>
            <w:r>
              <w:rPr>
                <w:rFonts w:ascii="Arial" w:hAnsi="Arial" w:cs="Arial"/>
                <w:sz w:val="20"/>
                <w:szCs w:val="20"/>
              </w:rPr>
              <w:t>-7.7ppts</w:t>
            </w:r>
          </w:p>
        </w:tc>
      </w:tr>
      <w:tr w:rsidR="000F2D30" w14:paraId="57EF4F54" w14:textId="77777777" w:rsidTr="000F2D30">
        <w:tc>
          <w:tcPr>
            <w:tcW w:w="1271" w:type="dxa"/>
          </w:tcPr>
          <w:p w14:paraId="6EE47C67" w14:textId="1CE691EA" w:rsidR="000F2D30" w:rsidRDefault="000F2D30" w:rsidP="003E7CE8">
            <w:pPr>
              <w:rPr>
                <w:rFonts w:ascii="Arial" w:hAnsi="Arial" w:cs="Arial"/>
                <w:sz w:val="20"/>
                <w:szCs w:val="20"/>
              </w:rPr>
            </w:pPr>
            <w:r>
              <w:rPr>
                <w:rFonts w:ascii="Arial" w:hAnsi="Arial" w:cs="Arial"/>
                <w:sz w:val="20"/>
                <w:szCs w:val="20"/>
              </w:rPr>
              <w:t>Wine</w:t>
            </w:r>
          </w:p>
        </w:tc>
        <w:tc>
          <w:tcPr>
            <w:tcW w:w="1701" w:type="dxa"/>
          </w:tcPr>
          <w:p w14:paraId="4E8570D4" w14:textId="2F0D289F" w:rsidR="000F2D30" w:rsidRDefault="000F2D30" w:rsidP="000F2D30">
            <w:pPr>
              <w:jc w:val="center"/>
              <w:rPr>
                <w:rFonts w:ascii="Arial" w:hAnsi="Arial" w:cs="Arial"/>
                <w:sz w:val="20"/>
                <w:szCs w:val="20"/>
              </w:rPr>
            </w:pPr>
            <w:r>
              <w:rPr>
                <w:rFonts w:ascii="Arial" w:hAnsi="Arial" w:cs="Arial"/>
                <w:sz w:val="20"/>
                <w:szCs w:val="20"/>
              </w:rPr>
              <w:t>£12.06</w:t>
            </w:r>
          </w:p>
        </w:tc>
        <w:tc>
          <w:tcPr>
            <w:tcW w:w="3119" w:type="dxa"/>
            <w:shd w:val="clear" w:color="auto" w:fill="FF0000"/>
          </w:tcPr>
          <w:p w14:paraId="70466721" w14:textId="55E359FC" w:rsidR="000F2D30" w:rsidRDefault="000F2D30" w:rsidP="000F2D30">
            <w:pPr>
              <w:jc w:val="center"/>
              <w:rPr>
                <w:rFonts w:ascii="Arial" w:hAnsi="Arial" w:cs="Arial"/>
                <w:sz w:val="20"/>
                <w:szCs w:val="20"/>
              </w:rPr>
            </w:pPr>
            <w:r>
              <w:rPr>
                <w:rFonts w:ascii="Arial" w:hAnsi="Arial" w:cs="Arial"/>
                <w:sz w:val="20"/>
                <w:szCs w:val="20"/>
              </w:rPr>
              <w:t>-2.1ppts</w:t>
            </w:r>
          </w:p>
        </w:tc>
      </w:tr>
      <w:tr w:rsidR="000F2D30" w14:paraId="4C3B17D8" w14:textId="77777777" w:rsidTr="000F2D30">
        <w:tc>
          <w:tcPr>
            <w:tcW w:w="1271" w:type="dxa"/>
          </w:tcPr>
          <w:p w14:paraId="12C32A8D" w14:textId="6C9C8E7C" w:rsidR="000F2D30" w:rsidRDefault="000F2D30" w:rsidP="003E7CE8">
            <w:pPr>
              <w:rPr>
                <w:rFonts w:ascii="Arial" w:hAnsi="Arial" w:cs="Arial"/>
                <w:sz w:val="20"/>
                <w:szCs w:val="20"/>
              </w:rPr>
            </w:pPr>
            <w:r>
              <w:rPr>
                <w:rFonts w:ascii="Arial" w:hAnsi="Arial" w:cs="Arial"/>
                <w:sz w:val="20"/>
                <w:szCs w:val="20"/>
              </w:rPr>
              <w:t>Spirits</w:t>
            </w:r>
          </w:p>
        </w:tc>
        <w:tc>
          <w:tcPr>
            <w:tcW w:w="1701" w:type="dxa"/>
          </w:tcPr>
          <w:p w14:paraId="64441F50" w14:textId="31BBA71D" w:rsidR="000F2D30" w:rsidRDefault="000F2D30" w:rsidP="000F2D30">
            <w:pPr>
              <w:jc w:val="center"/>
              <w:rPr>
                <w:rFonts w:ascii="Arial" w:hAnsi="Arial" w:cs="Arial"/>
                <w:sz w:val="20"/>
                <w:szCs w:val="20"/>
              </w:rPr>
            </w:pPr>
            <w:r>
              <w:rPr>
                <w:rFonts w:ascii="Arial" w:hAnsi="Arial" w:cs="Arial"/>
                <w:sz w:val="20"/>
                <w:szCs w:val="20"/>
              </w:rPr>
              <w:t>£16.71</w:t>
            </w:r>
          </w:p>
        </w:tc>
        <w:tc>
          <w:tcPr>
            <w:tcW w:w="3119" w:type="dxa"/>
            <w:shd w:val="clear" w:color="auto" w:fill="00B050"/>
          </w:tcPr>
          <w:p w14:paraId="247233D4" w14:textId="60F2540A" w:rsidR="000F2D30" w:rsidRDefault="000F2D30" w:rsidP="000F2D30">
            <w:pPr>
              <w:jc w:val="center"/>
              <w:rPr>
                <w:rFonts w:ascii="Arial" w:hAnsi="Arial" w:cs="Arial"/>
                <w:sz w:val="20"/>
                <w:szCs w:val="20"/>
              </w:rPr>
            </w:pPr>
            <w:r>
              <w:rPr>
                <w:rFonts w:ascii="Arial" w:hAnsi="Arial" w:cs="Arial"/>
                <w:sz w:val="20"/>
                <w:szCs w:val="20"/>
              </w:rPr>
              <w:t>+10.1ppts</w:t>
            </w:r>
          </w:p>
        </w:tc>
      </w:tr>
    </w:tbl>
    <w:p w14:paraId="5F7BC86D" w14:textId="77777777" w:rsidR="000F2D30" w:rsidRDefault="000F2D30" w:rsidP="003E7CE8">
      <w:pPr>
        <w:rPr>
          <w:rFonts w:ascii="Arial" w:hAnsi="Arial" w:cs="Arial"/>
          <w:sz w:val="20"/>
          <w:szCs w:val="20"/>
        </w:rPr>
      </w:pPr>
    </w:p>
    <w:p w14:paraId="1F44B24A" w14:textId="62FBADDD" w:rsidR="000F2D30" w:rsidRDefault="000F2D30" w:rsidP="000F2D30">
      <w:pPr>
        <w:rPr>
          <w:rFonts w:ascii="Arial" w:hAnsi="Arial" w:cs="Arial"/>
          <w:sz w:val="20"/>
          <w:szCs w:val="20"/>
        </w:rPr>
      </w:pPr>
      <w:r w:rsidRPr="000F2D30">
        <w:rPr>
          <w:rFonts w:ascii="Arial" w:hAnsi="Arial" w:cs="Arial"/>
          <w:sz w:val="20"/>
          <w:szCs w:val="20"/>
        </w:rPr>
        <w:t xml:space="preserve">These differences are being driven in part by the changes in number of drinks </w:t>
      </w:r>
      <w:r>
        <w:rPr>
          <w:rFonts w:ascii="Arial" w:hAnsi="Arial" w:cs="Arial"/>
          <w:sz w:val="20"/>
          <w:szCs w:val="20"/>
        </w:rPr>
        <w:t>consumed, w</w:t>
      </w:r>
      <w:r w:rsidRPr="000F2D30">
        <w:rPr>
          <w:rFonts w:ascii="Arial" w:hAnsi="Arial" w:cs="Arial"/>
          <w:sz w:val="20"/>
          <w:szCs w:val="20"/>
        </w:rPr>
        <w:t>ith consumers having slightly fewer beers and wines</w:t>
      </w:r>
      <w:r>
        <w:rPr>
          <w:rFonts w:ascii="Arial" w:hAnsi="Arial" w:cs="Arial"/>
          <w:sz w:val="20"/>
          <w:szCs w:val="20"/>
        </w:rPr>
        <w:t>,</w:t>
      </w:r>
      <w:r w:rsidRPr="000F2D30">
        <w:rPr>
          <w:rFonts w:ascii="Arial" w:hAnsi="Arial" w:cs="Arial"/>
          <w:sz w:val="20"/>
          <w:szCs w:val="20"/>
        </w:rPr>
        <w:t xml:space="preserve"> but enjoying more spirits</w:t>
      </w:r>
      <w:r>
        <w:rPr>
          <w:rFonts w:ascii="Arial" w:hAnsi="Arial" w:cs="Arial"/>
          <w:sz w:val="20"/>
          <w:szCs w:val="20"/>
        </w:rPr>
        <w:t xml:space="preserve">. </w:t>
      </w:r>
      <w:r w:rsidRPr="000F2D30">
        <w:rPr>
          <w:rFonts w:ascii="Arial" w:hAnsi="Arial" w:cs="Arial"/>
          <w:sz w:val="20"/>
          <w:szCs w:val="20"/>
        </w:rPr>
        <w:t xml:space="preserve">Longer term spend increases will </w:t>
      </w:r>
      <w:r>
        <w:rPr>
          <w:rFonts w:ascii="Arial" w:hAnsi="Arial" w:cs="Arial"/>
          <w:sz w:val="20"/>
          <w:szCs w:val="20"/>
        </w:rPr>
        <w:t>inevitably</w:t>
      </w:r>
      <w:r w:rsidRPr="000F2D30">
        <w:rPr>
          <w:rFonts w:ascii="Arial" w:hAnsi="Arial" w:cs="Arial"/>
          <w:sz w:val="20"/>
          <w:szCs w:val="20"/>
        </w:rPr>
        <w:t xml:space="preserve"> go up due to price inflation</w:t>
      </w:r>
      <w:r>
        <w:rPr>
          <w:rFonts w:ascii="Arial" w:hAnsi="Arial" w:cs="Arial"/>
          <w:sz w:val="20"/>
          <w:szCs w:val="20"/>
        </w:rPr>
        <w:t>.</w:t>
      </w:r>
    </w:p>
    <w:p w14:paraId="6C49D2B2" w14:textId="6D4E12EE" w:rsidR="000F2D30" w:rsidRPr="00A46933" w:rsidRDefault="00A46933" w:rsidP="000F2D30">
      <w:pPr>
        <w:rPr>
          <w:rFonts w:ascii="Arial" w:hAnsi="Arial" w:cs="Arial"/>
          <w:b/>
          <w:bCs/>
        </w:rPr>
      </w:pPr>
      <w:r w:rsidRPr="00A46933">
        <w:rPr>
          <w:rFonts w:ascii="Arial" w:hAnsi="Arial" w:cs="Arial"/>
          <w:b/>
          <w:bCs/>
        </w:rPr>
        <w:t>Beer still drives the highest volume</w:t>
      </w:r>
    </w:p>
    <w:p w14:paraId="6739332A" w14:textId="7541D8C7" w:rsidR="00A46933" w:rsidRDefault="00A46933" w:rsidP="000F2D30">
      <w:pPr>
        <w:rPr>
          <w:rFonts w:ascii="Arial" w:hAnsi="Arial" w:cs="Arial"/>
          <w:sz w:val="20"/>
          <w:szCs w:val="20"/>
        </w:rPr>
      </w:pPr>
      <w:r>
        <w:rPr>
          <w:rFonts w:ascii="Arial" w:hAnsi="Arial" w:cs="Arial"/>
          <w:sz w:val="20"/>
          <w:szCs w:val="20"/>
        </w:rPr>
        <w:t>Using Lumina Intelligence’s Eating &amp; Drinking Out Panel, we can see the share of occasions split by alcoholic drink type. Overlaid with Lumina Intelligence Menu Tracker data showing share of menu items split by drinks type, this highlights some interesting data:</w:t>
      </w:r>
    </w:p>
    <w:tbl>
      <w:tblPr>
        <w:tblStyle w:val="TableGrid"/>
        <w:tblW w:w="0" w:type="auto"/>
        <w:tblLook w:val="04A0" w:firstRow="1" w:lastRow="0" w:firstColumn="1" w:lastColumn="0" w:noHBand="0" w:noVBand="1"/>
      </w:tblPr>
      <w:tblGrid>
        <w:gridCol w:w="1271"/>
        <w:gridCol w:w="3402"/>
        <w:gridCol w:w="2410"/>
      </w:tblGrid>
      <w:tr w:rsidR="00A46933" w14:paraId="7BFB92FE" w14:textId="77777777" w:rsidTr="00A46933">
        <w:tc>
          <w:tcPr>
            <w:tcW w:w="1271" w:type="dxa"/>
            <w:shd w:val="clear" w:color="auto" w:fill="44546A" w:themeFill="text2"/>
          </w:tcPr>
          <w:p w14:paraId="090F6A7C" w14:textId="08296FD7" w:rsidR="00A46933" w:rsidRPr="00A46933" w:rsidRDefault="00A46933" w:rsidP="00A46933">
            <w:pPr>
              <w:jc w:val="center"/>
              <w:rPr>
                <w:rFonts w:ascii="Arial" w:hAnsi="Arial" w:cs="Arial"/>
                <w:b/>
                <w:bCs/>
                <w:color w:val="FFFFFF" w:themeColor="background1"/>
                <w:sz w:val="20"/>
                <w:szCs w:val="20"/>
              </w:rPr>
            </w:pPr>
            <w:r>
              <w:rPr>
                <w:rFonts w:ascii="Arial" w:hAnsi="Arial" w:cs="Arial"/>
                <w:b/>
                <w:bCs/>
                <w:color w:val="FFFFFF" w:themeColor="background1"/>
                <w:sz w:val="20"/>
                <w:szCs w:val="20"/>
              </w:rPr>
              <w:t>Drink type</w:t>
            </w:r>
          </w:p>
        </w:tc>
        <w:tc>
          <w:tcPr>
            <w:tcW w:w="3402" w:type="dxa"/>
            <w:shd w:val="clear" w:color="auto" w:fill="44546A" w:themeFill="text2"/>
          </w:tcPr>
          <w:p w14:paraId="2F74D4DD" w14:textId="3DD8A03F" w:rsidR="00A46933" w:rsidRPr="00A46933" w:rsidRDefault="00A46933" w:rsidP="00A46933">
            <w:pPr>
              <w:jc w:val="center"/>
              <w:rPr>
                <w:rFonts w:ascii="Arial" w:hAnsi="Arial" w:cs="Arial"/>
                <w:b/>
                <w:bCs/>
                <w:color w:val="FFFFFF" w:themeColor="background1"/>
                <w:sz w:val="20"/>
                <w:szCs w:val="20"/>
              </w:rPr>
            </w:pPr>
            <w:r>
              <w:rPr>
                <w:rFonts w:ascii="Arial" w:hAnsi="Arial" w:cs="Arial"/>
                <w:b/>
                <w:bCs/>
                <w:color w:val="FFFFFF" w:themeColor="background1"/>
                <w:sz w:val="20"/>
                <w:szCs w:val="20"/>
              </w:rPr>
              <w:t>Share of consumption occasions</w:t>
            </w:r>
          </w:p>
        </w:tc>
        <w:tc>
          <w:tcPr>
            <w:tcW w:w="2410" w:type="dxa"/>
            <w:shd w:val="clear" w:color="auto" w:fill="44546A" w:themeFill="text2"/>
          </w:tcPr>
          <w:p w14:paraId="3016F681" w14:textId="27236238" w:rsidR="00A46933" w:rsidRPr="00A46933" w:rsidRDefault="00A46933" w:rsidP="00A46933">
            <w:pPr>
              <w:jc w:val="center"/>
              <w:rPr>
                <w:rFonts w:ascii="Arial" w:hAnsi="Arial" w:cs="Arial"/>
                <w:b/>
                <w:bCs/>
                <w:color w:val="FFFFFF" w:themeColor="background1"/>
                <w:sz w:val="20"/>
                <w:szCs w:val="20"/>
              </w:rPr>
            </w:pPr>
            <w:r>
              <w:rPr>
                <w:rFonts w:ascii="Arial" w:hAnsi="Arial" w:cs="Arial"/>
                <w:b/>
                <w:bCs/>
                <w:color w:val="FFFFFF" w:themeColor="background1"/>
                <w:sz w:val="20"/>
                <w:szCs w:val="20"/>
              </w:rPr>
              <w:t>Share of menu items</w:t>
            </w:r>
          </w:p>
        </w:tc>
      </w:tr>
      <w:tr w:rsidR="00A46933" w14:paraId="6824F84C" w14:textId="77777777" w:rsidTr="00A46933">
        <w:tc>
          <w:tcPr>
            <w:tcW w:w="1271" w:type="dxa"/>
          </w:tcPr>
          <w:p w14:paraId="7D431C32" w14:textId="6B4B63CC" w:rsidR="00A46933" w:rsidRDefault="00A46933" w:rsidP="000F2D30">
            <w:pPr>
              <w:rPr>
                <w:rFonts w:ascii="Arial" w:hAnsi="Arial" w:cs="Arial"/>
                <w:sz w:val="20"/>
                <w:szCs w:val="20"/>
              </w:rPr>
            </w:pPr>
            <w:r>
              <w:rPr>
                <w:rFonts w:ascii="Arial" w:hAnsi="Arial" w:cs="Arial"/>
                <w:sz w:val="20"/>
                <w:szCs w:val="20"/>
              </w:rPr>
              <w:t>Beer</w:t>
            </w:r>
          </w:p>
        </w:tc>
        <w:tc>
          <w:tcPr>
            <w:tcW w:w="3402" w:type="dxa"/>
          </w:tcPr>
          <w:p w14:paraId="129DA92C" w14:textId="03F19E2A" w:rsidR="00A46933" w:rsidRDefault="00A46933" w:rsidP="00A46933">
            <w:pPr>
              <w:jc w:val="center"/>
              <w:rPr>
                <w:rFonts w:ascii="Arial" w:hAnsi="Arial" w:cs="Arial"/>
                <w:sz w:val="20"/>
                <w:szCs w:val="20"/>
              </w:rPr>
            </w:pPr>
            <w:r>
              <w:rPr>
                <w:rFonts w:ascii="Arial" w:hAnsi="Arial" w:cs="Arial"/>
                <w:sz w:val="20"/>
                <w:szCs w:val="20"/>
              </w:rPr>
              <w:t>57%</w:t>
            </w:r>
          </w:p>
        </w:tc>
        <w:tc>
          <w:tcPr>
            <w:tcW w:w="2410" w:type="dxa"/>
          </w:tcPr>
          <w:p w14:paraId="456FABF7" w14:textId="1AD51752" w:rsidR="00A46933" w:rsidRDefault="00A46933" w:rsidP="00A46933">
            <w:pPr>
              <w:jc w:val="center"/>
              <w:rPr>
                <w:rFonts w:ascii="Arial" w:hAnsi="Arial" w:cs="Arial"/>
                <w:sz w:val="20"/>
                <w:szCs w:val="20"/>
              </w:rPr>
            </w:pPr>
            <w:r>
              <w:rPr>
                <w:rFonts w:ascii="Arial" w:hAnsi="Arial" w:cs="Arial"/>
                <w:sz w:val="20"/>
                <w:szCs w:val="20"/>
              </w:rPr>
              <w:t>16%</w:t>
            </w:r>
          </w:p>
        </w:tc>
      </w:tr>
      <w:tr w:rsidR="00A46933" w14:paraId="19954BDD" w14:textId="77777777" w:rsidTr="00A46933">
        <w:tc>
          <w:tcPr>
            <w:tcW w:w="1271" w:type="dxa"/>
          </w:tcPr>
          <w:p w14:paraId="6D566614" w14:textId="15C79F70" w:rsidR="00A46933" w:rsidRDefault="00A46933" w:rsidP="000F2D30">
            <w:pPr>
              <w:rPr>
                <w:rFonts w:ascii="Arial" w:hAnsi="Arial" w:cs="Arial"/>
                <w:sz w:val="20"/>
                <w:szCs w:val="20"/>
              </w:rPr>
            </w:pPr>
            <w:r>
              <w:rPr>
                <w:rFonts w:ascii="Arial" w:hAnsi="Arial" w:cs="Arial"/>
                <w:sz w:val="20"/>
                <w:szCs w:val="20"/>
              </w:rPr>
              <w:t>Cider</w:t>
            </w:r>
          </w:p>
        </w:tc>
        <w:tc>
          <w:tcPr>
            <w:tcW w:w="3402" w:type="dxa"/>
          </w:tcPr>
          <w:p w14:paraId="269711BE" w14:textId="7EC2CEB7" w:rsidR="00A46933" w:rsidRDefault="00A46933" w:rsidP="00A46933">
            <w:pPr>
              <w:jc w:val="center"/>
              <w:rPr>
                <w:rFonts w:ascii="Arial" w:hAnsi="Arial" w:cs="Arial"/>
                <w:sz w:val="20"/>
                <w:szCs w:val="20"/>
              </w:rPr>
            </w:pPr>
            <w:r>
              <w:rPr>
                <w:rFonts w:ascii="Arial" w:hAnsi="Arial" w:cs="Arial"/>
                <w:sz w:val="20"/>
                <w:szCs w:val="20"/>
              </w:rPr>
              <w:t>11%</w:t>
            </w:r>
          </w:p>
        </w:tc>
        <w:tc>
          <w:tcPr>
            <w:tcW w:w="2410" w:type="dxa"/>
          </w:tcPr>
          <w:p w14:paraId="0C905EE6" w14:textId="36C925F1" w:rsidR="00A46933" w:rsidRDefault="00A46933" w:rsidP="00A46933">
            <w:pPr>
              <w:jc w:val="center"/>
              <w:rPr>
                <w:rFonts w:ascii="Arial" w:hAnsi="Arial" w:cs="Arial"/>
                <w:sz w:val="20"/>
                <w:szCs w:val="20"/>
              </w:rPr>
            </w:pPr>
            <w:r>
              <w:rPr>
                <w:rFonts w:ascii="Arial" w:hAnsi="Arial" w:cs="Arial"/>
                <w:sz w:val="20"/>
                <w:szCs w:val="20"/>
              </w:rPr>
              <w:t>5%</w:t>
            </w:r>
          </w:p>
        </w:tc>
      </w:tr>
      <w:tr w:rsidR="00A46933" w14:paraId="327BA1C5" w14:textId="77777777" w:rsidTr="00A46933">
        <w:tc>
          <w:tcPr>
            <w:tcW w:w="1271" w:type="dxa"/>
          </w:tcPr>
          <w:p w14:paraId="0F8C1A81" w14:textId="48CFA96E" w:rsidR="00A46933" w:rsidRDefault="00A46933" w:rsidP="000F2D30">
            <w:pPr>
              <w:rPr>
                <w:rFonts w:ascii="Arial" w:hAnsi="Arial" w:cs="Arial"/>
                <w:sz w:val="20"/>
                <w:szCs w:val="20"/>
              </w:rPr>
            </w:pPr>
            <w:r>
              <w:rPr>
                <w:rFonts w:ascii="Arial" w:hAnsi="Arial" w:cs="Arial"/>
                <w:sz w:val="20"/>
                <w:szCs w:val="20"/>
              </w:rPr>
              <w:t>Cocktail</w:t>
            </w:r>
          </w:p>
        </w:tc>
        <w:tc>
          <w:tcPr>
            <w:tcW w:w="3402" w:type="dxa"/>
          </w:tcPr>
          <w:p w14:paraId="0CE189B4" w14:textId="0626EB76" w:rsidR="00A46933" w:rsidRDefault="00A46933" w:rsidP="00A46933">
            <w:pPr>
              <w:jc w:val="center"/>
              <w:rPr>
                <w:rFonts w:ascii="Arial" w:hAnsi="Arial" w:cs="Arial"/>
                <w:sz w:val="20"/>
                <w:szCs w:val="20"/>
              </w:rPr>
            </w:pPr>
            <w:r>
              <w:rPr>
                <w:rFonts w:ascii="Arial" w:hAnsi="Arial" w:cs="Arial"/>
                <w:sz w:val="20"/>
                <w:szCs w:val="20"/>
              </w:rPr>
              <w:t>6%</w:t>
            </w:r>
          </w:p>
        </w:tc>
        <w:tc>
          <w:tcPr>
            <w:tcW w:w="2410" w:type="dxa"/>
          </w:tcPr>
          <w:p w14:paraId="436C72C4" w14:textId="0590A685" w:rsidR="00A46933" w:rsidRDefault="00A46933" w:rsidP="00A46933">
            <w:pPr>
              <w:jc w:val="center"/>
              <w:rPr>
                <w:rFonts w:ascii="Arial" w:hAnsi="Arial" w:cs="Arial"/>
                <w:sz w:val="20"/>
                <w:szCs w:val="20"/>
              </w:rPr>
            </w:pPr>
            <w:r>
              <w:rPr>
                <w:rFonts w:ascii="Arial" w:hAnsi="Arial" w:cs="Arial"/>
                <w:sz w:val="20"/>
                <w:szCs w:val="20"/>
              </w:rPr>
              <w:t>14%</w:t>
            </w:r>
          </w:p>
        </w:tc>
      </w:tr>
      <w:tr w:rsidR="00A46933" w14:paraId="140F8A69" w14:textId="77777777" w:rsidTr="00A46933">
        <w:tc>
          <w:tcPr>
            <w:tcW w:w="1271" w:type="dxa"/>
          </w:tcPr>
          <w:p w14:paraId="4BF9D0DE" w14:textId="4B66936F" w:rsidR="00A46933" w:rsidRDefault="00A46933" w:rsidP="000F2D30">
            <w:pPr>
              <w:rPr>
                <w:rFonts w:ascii="Arial" w:hAnsi="Arial" w:cs="Arial"/>
                <w:sz w:val="20"/>
                <w:szCs w:val="20"/>
              </w:rPr>
            </w:pPr>
            <w:r>
              <w:rPr>
                <w:rFonts w:ascii="Arial" w:hAnsi="Arial" w:cs="Arial"/>
                <w:sz w:val="20"/>
                <w:szCs w:val="20"/>
              </w:rPr>
              <w:t>Spirit</w:t>
            </w:r>
          </w:p>
        </w:tc>
        <w:tc>
          <w:tcPr>
            <w:tcW w:w="3402" w:type="dxa"/>
          </w:tcPr>
          <w:p w14:paraId="49CEA75E" w14:textId="0404BA93" w:rsidR="00A46933" w:rsidRDefault="00A46933" w:rsidP="00A46933">
            <w:pPr>
              <w:jc w:val="center"/>
              <w:rPr>
                <w:rFonts w:ascii="Arial" w:hAnsi="Arial" w:cs="Arial"/>
                <w:sz w:val="20"/>
                <w:szCs w:val="20"/>
              </w:rPr>
            </w:pPr>
            <w:r>
              <w:rPr>
                <w:rFonts w:ascii="Arial" w:hAnsi="Arial" w:cs="Arial"/>
                <w:sz w:val="20"/>
                <w:szCs w:val="20"/>
              </w:rPr>
              <w:t>10%</w:t>
            </w:r>
          </w:p>
        </w:tc>
        <w:tc>
          <w:tcPr>
            <w:tcW w:w="2410" w:type="dxa"/>
          </w:tcPr>
          <w:p w14:paraId="17F7AF5F" w14:textId="4D3D20D5" w:rsidR="00A46933" w:rsidRDefault="00A46933" w:rsidP="00A46933">
            <w:pPr>
              <w:jc w:val="center"/>
              <w:rPr>
                <w:rFonts w:ascii="Arial" w:hAnsi="Arial" w:cs="Arial"/>
                <w:sz w:val="20"/>
                <w:szCs w:val="20"/>
              </w:rPr>
            </w:pPr>
            <w:r>
              <w:rPr>
                <w:rFonts w:ascii="Arial" w:hAnsi="Arial" w:cs="Arial"/>
                <w:sz w:val="20"/>
                <w:szCs w:val="20"/>
              </w:rPr>
              <w:t>40%</w:t>
            </w:r>
          </w:p>
        </w:tc>
      </w:tr>
      <w:tr w:rsidR="00A46933" w14:paraId="733D2CCC" w14:textId="77777777" w:rsidTr="00A46933">
        <w:tc>
          <w:tcPr>
            <w:tcW w:w="1271" w:type="dxa"/>
          </w:tcPr>
          <w:p w14:paraId="59652263" w14:textId="753B3E3C" w:rsidR="00A46933" w:rsidRDefault="00A46933" w:rsidP="000F2D30">
            <w:pPr>
              <w:rPr>
                <w:rFonts w:ascii="Arial" w:hAnsi="Arial" w:cs="Arial"/>
                <w:sz w:val="20"/>
                <w:szCs w:val="20"/>
              </w:rPr>
            </w:pPr>
            <w:r>
              <w:rPr>
                <w:rFonts w:ascii="Arial" w:hAnsi="Arial" w:cs="Arial"/>
                <w:sz w:val="20"/>
                <w:szCs w:val="20"/>
              </w:rPr>
              <w:t>Wine</w:t>
            </w:r>
          </w:p>
        </w:tc>
        <w:tc>
          <w:tcPr>
            <w:tcW w:w="3402" w:type="dxa"/>
          </w:tcPr>
          <w:p w14:paraId="17E52468" w14:textId="3FF27F89" w:rsidR="00A46933" w:rsidRDefault="00A46933" w:rsidP="00A46933">
            <w:pPr>
              <w:jc w:val="center"/>
              <w:rPr>
                <w:rFonts w:ascii="Arial" w:hAnsi="Arial" w:cs="Arial"/>
                <w:sz w:val="20"/>
                <w:szCs w:val="20"/>
              </w:rPr>
            </w:pPr>
            <w:r>
              <w:rPr>
                <w:rFonts w:ascii="Arial" w:hAnsi="Arial" w:cs="Arial"/>
                <w:sz w:val="20"/>
                <w:szCs w:val="20"/>
              </w:rPr>
              <w:t>16%</w:t>
            </w:r>
          </w:p>
        </w:tc>
        <w:tc>
          <w:tcPr>
            <w:tcW w:w="2410" w:type="dxa"/>
          </w:tcPr>
          <w:p w14:paraId="4CB26799" w14:textId="3E6CF9B3" w:rsidR="00A46933" w:rsidRDefault="00A46933" w:rsidP="00A46933">
            <w:pPr>
              <w:jc w:val="center"/>
              <w:rPr>
                <w:rFonts w:ascii="Arial" w:hAnsi="Arial" w:cs="Arial"/>
                <w:sz w:val="20"/>
                <w:szCs w:val="20"/>
              </w:rPr>
            </w:pPr>
            <w:r>
              <w:rPr>
                <w:rFonts w:ascii="Arial" w:hAnsi="Arial" w:cs="Arial"/>
                <w:sz w:val="20"/>
                <w:szCs w:val="20"/>
              </w:rPr>
              <w:t>25%</w:t>
            </w:r>
          </w:p>
        </w:tc>
      </w:tr>
    </w:tbl>
    <w:p w14:paraId="7A263822" w14:textId="75B4114E" w:rsidR="00A46933" w:rsidRDefault="00A46933" w:rsidP="000F2D30">
      <w:pPr>
        <w:rPr>
          <w:rFonts w:ascii="Arial" w:hAnsi="Arial" w:cs="Arial"/>
          <w:sz w:val="20"/>
          <w:szCs w:val="20"/>
        </w:rPr>
      </w:pPr>
    </w:p>
    <w:p w14:paraId="1808CFE7" w14:textId="645DB074" w:rsidR="00A46933" w:rsidRPr="000F2D30" w:rsidRDefault="00A46933" w:rsidP="000F2D30">
      <w:pPr>
        <w:rPr>
          <w:rFonts w:ascii="Arial" w:hAnsi="Arial" w:cs="Arial"/>
          <w:sz w:val="20"/>
          <w:szCs w:val="20"/>
        </w:rPr>
      </w:pPr>
      <w:r>
        <w:rPr>
          <w:rFonts w:ascii="Arial" w:hAnsi="Arial" w:cs="Arial"/>
          <w:sz w:val="20"/>
          <w:szCs w:val="20"/>
        </w:rPr>
        <w:lastRenderedPageBreak/>
        <w:t xml:space="preserve">Wine and spirits represent two thirds of operator drinks menus, but account for </w:t>
      </w:r>
      <w:r w:rsidR="009627CB">
        <w:rPr>
          <w:rFonts w:ascii="Arial" w:hAnsi="Arial" w:cs="Arial"/>
          <w:sz w:val="20"/>
          <w:szCs w:val="20"/>
        </w:rPr>
        <w:t>a quarter of consumption occasions. In contrast, beer and cider represent 21% of operator drinks menus and account for 68% of total consumption occasions.</w:t>
      </w:r>
    </w:p>
    <w:p w14:paraId="33D7399D" w14:textId="76152662" w:rsidR="0079412D" w:rsidRDefault="009400D0" w:rsidP="009400D0">
      <w:pPr>
        <w:rPr>
          <w:rFonts w:ascii="Arial" w:hAnsi="Arial" w:cs="Arial"/>
          <w:i/>
          <w:iCs/>
          <w:sz w:val="20"/>
          <w:szCs w:val="20"/>
        </w:rPr>
      </w:pPr>
      <w:r w:rsidRPr="009400D0">
        <w:rPr>
          <w:rFonts w:ascii="Arial" w:hAnsi="Arial" w:cs="Arial"/>
          <w:sz w:val="20"/>
          <w:szCs w:val="20"/>
        </w:rPr>
        <w:t xml:space="preserve">Commenting on the </w:t>
      </w:r>
      <w:r w:rsidR="00F74791">
        <w:rPr>
          <w:rFonts w:ascii="Arial" w:hAnsi="Arial" w:cs="Arial"/>
          <w:sz w:val="20"/>
          <w:szCs w:val="20"/>
        </w:rPr>
        <w:t>findings</w:t>
      </w:r>
      <w:r w:rsidRPr="009400D0">
        <w:rPr>
          <w:rFonts w:ascii="Arial" w:hAnsi="Arial" w:cs="Arial"/>
          <w:sz w:val="20"/>
          <w:szCs w:val="20"/>
        </w:rPr>
        <w:t xml:space="preserve">, Insight </w:t>
      </w:r>
      <w:r w:rsidR="0079412D">
        <w:rPr>
          <w:rFonts w:ascii="Arial" w:hAnsi="Arial" w:cs="Arial"/>
          <w:sz w:val="20"/>
          <w:szCs w:val="20"/>
        </w:rPr>
        <w:t>Director</w:t>
      </w:r>
      <w:r w:rsidRPr="009400D0">
        <w:rPr>
          <w:rFonts w:ascii="Arial" w:hAnsi="Arial" w:cs="Arial"/>
          <w:sz w:val="20"/>
          <w:szCs w:val="20"/>
        </w:rPr>
        <w:t xml:space="preserve"> at Lumina Intelligence, </w:t>
      </w:r>
      <w:r w:rsidR="0079412D">
        <w:rPr>
          <w:rFonts w:ascii="Arial" w:hAnsi="Arial" w:cs="Arial"/>
          <w:sz w:val="20"/>
          <w:szCs w:val="20"/>
        </w:rPr>
        <w:t>Blonnie Whist</w:t>
      </w:r>
      <w:r w:rsidRPr="009400D0">
        <w:rPr>
          <w:rFonts w:ascii="Arial" w:hAnsi="Arial" w:cs="Arial"/>
          <w:sz w:val="20"/>
          <w:szCs w:val="20"/>
        </w:rPr>
        <w:t xml:space="preserve">, said: </w:t>
      </w:r>
      <w:r w:rsidRPr="009400D0">
        <w:rPr>
          <w:rFonts w:ascii="Arial" w:hAnsi="Arial" w:cs="Arial"/>
          <w:i/>
          <w:iCs/>
          <w:sz w:val="20"/>
          <w:szCs w:val="20"/>
        </w:rPr>
        <w:t>“</w:t>
      </w:r>
      <w:r w:rsidR="0079412D">
        <w:rPr>
          <w:rFonts w:ascii="Arial" w:hAnsi="Arial" w:cs="Arial"/>
          <w:i/>
          <w:iCs/>
          <w:sz w:val="20"/>
          <w:szCs w:val="20"/>
        </w:rPr>
        <w:t>Pubs are bouncing back, despite the challenges the sector is facing. Increased spend and regained dinner share are great signs</w:t>
      </w:r>
      <w:r w:rsidR="0079412D" w:rsidRPr="0079412D">
        <w:rPr>
          <w:rFonts w:ascii="Arial" w:hAnsi="Arial" w:cs="Arial"/>
          <w:i/>
          <w:iCs/>
          <w:sz w:val="20"/>
          <w:szCs w:val="20"/>
        </w:rPr>
        <w:t xml:space="preserve"> that for high spend occasions which are a bit more special and discretionary, pubs and bars are going to win out.</w:t>
      </w:r>
      <w:r w:rsidR="009627CB">
        <w:rPr>
          <w:rFonts w:ascii="Arial" w:hAnsi="Arial" w:cs="Arial"/>
          <w:i/>
          <w:iCs/>
          <w:sz w:val="20"/>
          <w:szCs w:val="20"/>
        </w:rPr>
        <w:t xml:space="preserve"> Spirits are becoming a key opportunity for operators to drive frequency and spend, however this cannot be at the expense of beer, which continues to drive the highest volume.</w:t>
      </w:r>
      <w:r w:rsidR="0079412D">
        <w:rPr>
          <w:rFonts w:ascii="Arial" w:hAnsi="Arial" w:cs="Arial"/>
          <w:i/>
          <w:iCs/>
          <w:sz w:val="20"/>
          <w:szCs w:val="20"/>
        </w:rPr>
        <w:t>”</w:t>
      </w:r>
    </w:p>
    <w:p w14:paraId="621435A7" w14:textId="5A4A4FAF" w:rsidR="005E6F14" w:rsidRPr="007464CC" w:rsidRDefault="005E6F14" w:rsidP="005E6F14">
      <w:pPr>
        <w:rPr>
          <w:rFonts w:ascii="Arial" w:hAnsi="Arial" w:cs="Arial"/>
          <w:sz w:val="20"/>
          <w:szCs w:val="20"/>
        </w:rPr>
      </w:pPr>
      <w:r>
        <w:rPr>
          <w:rFonts w:ascii="Arial" w:hAnsi="Arial" w:cs="Arial"/>
          <w:sz w:val="20"/>
          <w:szCs w:val="20"/>
        </w:rPr>
        <w:t xml:space="preserve">Find out more about Lumina Intelligence’s </w:t>
      </w:r>
      <w:r w:rsidR="009627CB">
        <w:rPr>
          <w:rFonts w:ascii="Arial" w:hAnsi="Arial" w:cs="Arial"/>
          <w:sz w:val="20"/>
          <w:szCs w:val="20"/>
        </w:rPr>
        <w:t>Menu Tracker</w:t>
      </w:r>
      <w:r>
        <w:rPr>
          <w:rFonts w:ascii="Arial" w:hAnsi="Arial" w:cs="Arial"/>
          <w:sz w:val="20"/>
          <w:szCs w:val="20"/>
        </w:rPr>
        <w:t xml:space="preserve"> </w:t>
      </w:r>
      <w:hyperlink r:id="rId7" w:history="1">
        <w:r w:rsidRPr="007464CC">
          <w:rPr>
            <w:rStyle w:val="Hyperlink"/>
            <w:rFonts w:ascii="Arial" w:hAnsi="Arial" w:cs="Arial"/>
            <w:sz w:val="20"/>
            <w:szCs w:val="20"/>
          </w:rPr>
          <w:t>here</w:t>
        </w:r>
      </w:hyperlink>
      <w:r>
        <w:rPr>
          <w:rFonts w:ascii="Arial" w:hAnsi="Arial" w:cs="Arial"/>
          <w:sz w:val="20"/>
          <w:szCs w:val="20"/>
        </w:rPr>
        <w:t>.</w:t>
      </w:r>
    </w:p>
    <w:p w14:paraId="3C5B2A20" w14:textId="77777777" w:rsidR="005E6F14" w:rsidRPr="00550B08" w:rsidRDefault="005E6F14" w:rsidP="005E6F14">
      <w:pPr>
        <w:rPr>
          <w:rFonts w:ascii="Arial" w:hAnsi="Arial" w:cs="Arial"/>
          <w:b/>
          <w:bCs/>
        </w:rPr>
      </w:pPr>
      <w:r w:rsidRPr="00550B08">
        <w:rPr>
          <w:rFonts w:ascii="Arial" w:hAnsi="Arial" w:cs="Arial"/>
          <w:b/>
          <w:bCs/>
        </w:rPr>
        <w:t>ENDS</w:t>
      </w:r>
    </w:p>
    <w:p w14:paraId="00739472" w14:textId="77777777" w:rsidR="001557EC" w:rsidRDefault="001557EC" w:rsidP="005E6F14">
      <w:pPr>
        <w:rPr>
          <w:rFonts w:ascii="Arial" w:hAnsi="Arial" w:cs="Arial"/>
          <w:sz w:val="20"/>
          <w:szCs w:val="20"/>
        </w:rPr>
      </w:pPr>
    </w:p>
    <w:p w14:paraId="14BE6760" w14:textId="647163F7" w:rsidR="005E6F14" w:rsidRPr="001557EC" w:rsidRDefault="009627CB" w:rsidP="005E6F14">
      <w:pPr>
        <w:rPr>
          <w:rFonts w:ascii="Arial" w:hAnsi="Arial" w:cs="Arial"/>
          <w:b/>
          <w:bCs/>
          <w:sz w:val="20"/>
          <w:szCs w:val="20"/>
        </w:rPr>
      </w:pPr>
      <w:r>
        <w:rPr>
          <w:rFonts w:ascii="Arial" w:hAnsi="Arial" w:cs="Arial"/>
          <w:b/>
          <w:bCs/>
          <w:sz w:val="20"/>
          <w:szCs w:val="20"/>
        </w:rPr>
        <w:t>Menu Tracker</w:t>
      </w:r>
    </w:p>
    <w:p w14:paraId="6FC45EEE" w14:textId="77777777" w:rsidR="009627CB" w:rsidRDefault="009627CB" w:rsidP="009627CB">
      <w:pPr>
        <w:rPr>
          <w:rFonts w:ascii="Arial" w:hAnsi="Arial" w:cs="Arial"/>
          <w:sz w:val="20"/>
          <w:szCs w:val="20"/>
        </w:rPr>
      </w:pPr>
      <w:r w:rsidRPr="007464CC">
        <w:rPr>
          <w:rFonts w:ascii="Arial" w:hAnsi="Arial" w:cs="Arial"/>
          <w:sz w:val="20"/>
          <w:szCs w:val="20"/>
        </w:rPr>
        <w:t xml:space="preserve">Lumina Intelligence’s </w:t>
      </w:r>
      <w:r>
        <w:rPr>
          <w:rFonts w:ascii="Arial" w:hAnsi="Arial" w:cs="Arial"/>
          <w:sz w:val="20"/>
          <w:szCs w:val="20"/>
        </w:rPr>
        <w:t>Menu Tracker enables you to t</w:t>
      </w:r>
      <w:r w:rsidRPr="001557EC">
        <w:rPr>
          <w:rFonts w:ascii="Arial" w:hAnsi="Arial" w:cs="Arial"/>
          <w:sz w:val="20"/>
          <w:szCs w:val="20"/>
        </w:rPr>
        <w:t>rack, compare &amp; analyse the pricing &amp; menu composition of 80 major UK pub, restaurant, QSR, sandwich and coffee shop operators.</w:t>
      </w:r>
      <w:r>
        <w:rPr>
          <w:rFonts w:ascii="Arial" w:hAnsi="Arial" w:cs="Arial"/>
          <w:sz w:val="20"/>
          <w:szCs w:val="20"/>
        </w:rPr>
        <w:t xml:space="preserve"> Updated monthly, the tool allows for in depth analysis of:</w:t>
      </w:r>
    </w:p>
    <w:p w14:paraId="5B7AD622" w14:textId="77777777" w:rsidR="009627CB" w:rsidRDefault="009627CB" w:rsidP="009627CB">
      <w:pPr>
        <w:pStyle w:val="ListParagraph"/>
        <w:numPr>
          <w:ilvl w:val="0"/>
          <w:numId w:val="11"/>
        </w:numPr>
        <w:rPr>
          <w:rFonts w:ascii="Arial" w:hAnsi="Arial" w:cs="Arial"/>
          <w:sz w:val="20"/>
          <w:szCs w:val="20"/>
        </w:rPr>
      </w:pPr>
      <w:r>
        <w:rPr>
          <w:rFonts w:ascii="Arial" w:hAnsi="Arial" w:cs="Arial"/>
          <w:sz w:val="20"/>
          <w:szCs w:val="20"/>
        </w:rPr>
        <w:t>Brand menus</w:t>
      </w:r>
    </w:p>
    <w:p w14:paraId="1275B1FE" w14:textId="77777777" w:rsidR="009627CB" w:rsidRDefault="009627CB" w:rsidP="009627CB">
      <w:pPr>
        <w:pStyle w:val="ListParagraph"/>
        <w:numPr>
          <w:ilvl w:val="0"/>
          <w:numId w:val="11"/>
        </w:numPr>
        <w:rPr>
          <w:rFonts w:ascii="Arial" w:hAnsi="Arial" w:cs="Arial"/>
          <w:sz w:val="20"/>
          <w:szCs w:val="20"/>
        </w:rPr>
      </w:pPr>
      <w:r>
        <w:rPr>
          <w:rFonts w:ascii="Arial" w:hAnsi="Arial" w:cs="Arial"/>
          <w:sz w:val="20"/>
          <w:szCs w:val="20"/>
        </w:rPr>
        <w:t>Menu price inflation</w:t>
      </w:r>
    </w:p>
    <w:p w14:paraId="483A165E" w14:textId="77777777" w:rsidR="009627CB" w:rsidRDefault="009627CB" w:rsidP="009627CB">
      <w:pPr>
        <w:pStyle w:val="ListParagraph"/>
        <w:numPr>
          <w:ilvl w:val="0"/>
          <w:numId w:val="11"/>
        </w:numPr>
        <w:rPr>
          <w:rFonts w:ascii="Arial" w:hAnsi="Arial" w:cs="Arial"/>
          <w:sz w:val="20"/>
          <w:szCs w:val="20"/>
        </w:rPr>
      </w:pPr>
      <w:r>
        <w:rPr>
          <w:rFonts w:ascii="Arial" w:hAnsi="Arial" w:cs="Arial"/>
          <w:sz w:val="20"/>
          <w:szCs w:val="20"/>
        </w:rPr>
        <w:t>Dietary requirements</w:t>
      </w:r>
    </w:p>
    <w:p w14:paraId="7778FDB8" w14:textId="77777777" w:rsidR="009627CB" w:rsidRDefault="009627CB" w:rsidP="009627CB">
      <w:pPr>
        <w:pStyle w:val="ListParagraph"/>
        <w:numPr>
          <w:ilvl w:val="0"/>
          <w:numId w:val="11"/>
        </w:numPr>
        <w:rPr>
          <w:rFonts w:ascii="Arial" w:hAnsi="Arial" w:cs="Arial"/>
          <w:sz w:val="20"/>
          <w:szCs w:val="20"/>
        </w:rPr>
      </w:pPr>
      <w:r>
        <w:rPr>
          <w:rFonts w:ascii="Arial" w:hAnsi="Arial" w:cs="Arial"/>
          <w:sz w:val="20"/>
          <w:szCs w:val="20"/>
        </w:rPr>
        <w:t>NPD</w:t>
      </w:r>
    </w:p>
    <w:p w14:paraId="77AA796C" w14:textId="77777777" w:rsidR="009627CB" w:rsidRPr="001557EC" w:rsidRDefault="009627CB" w:rsidP="009627CB">
      <w:pPr>
        <w:pStyle w:val="ListParagraph"/>
        <w:numPr>
          <w:ilvl w:val="0"/>
          <w:numId w:val="11"/>
        </w:numPr>
        <w:rPr>
          <w:rFonts w:ascii="Arial" w:hAnsi="Arial" w:cs="Arial"/>
          <w:sz w:val="20"/>
          <w:szCs w:val="20"/>
        </w:rPr>
      </w:pPr>
      <w:r>
        <w:rPr>
          <w:rFonts w:ascii="Arial" w:hAnsi="Arial" w:cs="Arial"/>
          <w:sz w:val="20"/>
          <w:szCs w:val="20"/>
        </w:rPr>
        <w:t>Ingredients</w:t>
      </w: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9627CB"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C47EF"/>
    <w:multiLevelType w:val="hybridMultilevel"/>
    <w:tmpl w:val="C736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F3743"/>
    <w:multiLevelType w:val="hybridMultilevel"/>
    <w:tmpl w:val="2D0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3"/>
  </w:num>
  <w:num w:numId="6">
    <w:abstractNumId w:val="7"/>
  </w:num>
  <w:num w:numId="7">
    <w:abstractNumId w:val="5"/>
  </w:num>
  <w:num w:numId="8">
    <w:abstractNumId w:val="1"/>
  </w:num>
  <w:num w:numId="9">
    <w:abstractNumId w:val="0"/>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6D9B"/>
    <w:rsid w:val="00050D01"/>
    <w:rsid w:val="00051983"/>
    <w:rsid w:val="00053A7D"/>
    <w:rsid w:val="00072404"/>
    <w:rsid w:val="000809E0"/>
    <w:rsid w:val="00091667"/>
    <w:rsid w:val="000F1972"/>
    <w:rsid w:val="000F2D30"/>
    <w:rsid w:val="00107E2B"/>
    <w:rsid w:val="00113451"/>
    <w:rsid w:val="00116246"/>
    <w:rsid w:val="001249C3"/>
    <w:rsid w:val="00134B6F"/>
    <w:rsid w:val="00135574"/>
    <w:rsid w:val="001557EC"/>
    <w:rsid w:val="00170061"/>
    <w:rsid w:val="00195F54"/>
    <w:rsid w:val="001A3D4E"/>
    <w:rsid w:val="001B3CF2"/>
    <w:rsid w:val="001B4688"/>
    <w:rsid w:val="001C15D9"/>
    <w:rsid w:val="001C50C1"/>
    <w:rsid w:val="001C5B98"/>
    <w:rsid w:val="001C65B6"/>
    <w:rsid w:val="001C7BF1"/>
    <w:rsid w:val="001D4D35"/>
    <w:rsid w:val="00214D95"/>
    <w:rsid w:val="00216F72"/>
    <w:rsid w:val="00240CAC"/>
    <w:rsid w:val="002536AE"/>
    <w:rsid w:val="002578EA"/>
    <w:rsid w:val="00261F91"/>
    <w:rsid w:val="00297C15"/>
    <w:rsid w:val="002A0F0F"/>
    <w:rsid w:val="002E22C9"/>
    <w:rsid w:val="002E7454"/>
    <w:rsid w:val="002F089D"/>
    <w:rsid w:val="002F0BB4"/>
    <w:rsid w:val="002F7EAF"/>
    <w:rsid w:val="00302E10"/>
    <w:rsid w:val="00312F51"/>
    <w:rsid w:val="00323BE2"/>
    <w:rsid w:val="00346F0A"/>
    <w:rsid w:val="00353262"/>
    <w:rsid w:val="00363346"/>
    <w:rsid w:val="003A12EB"/>
    <w:rsid w:val="003C4BB2"/>
    <w:rsid w:val="003E204B"/>
    <w:rsid w:val="003E7CE8"/>
    <w:rsid w:val="00410EFD"/>
    <w:rsid w:val="00414095"/>
    <w:rsid w:val="0041755B"/>
    <w:rsid w:val="0044412F"/>
    <w:rsid w:val="004579C4"/>
    <w:rsid w:val="00481042"/>
    <w:rsid w:val="004943E4"/>
    <w:rsid w:val="004B3902"/>
    <w:rsid w:val="004C063F"/>
    <w:rsid w:val="004C2B82"/>
    <w:rsid w:val="004C5456"/>
    <w:rsid w:val="004C6C47"/>
    <w:rsid w:val="004D23F6"/>
    <w:rsid w:val="004E551E"/>
    <w:rsid w:val="004E5767"/>
    <w:rsid w:val="004F1FF8"/>
    <w:rsid w:val="0051728A"/>
    <w:rsid w:val="00520307"/>
    <w:rsid w:val="00532305"/>
    <w:rsid w:val="00540E50"/>
    <w:rsid w:val="00550B08"/>
    <w:rsid w:val="0055150D"/>
    <w:rsid w:val="005522E6"/>
    <w:rsid w:val="00553497"/>
    <w:rsid w:val="00554471"/>
    <w:rsid w:val="00566CAE"/>
    <w:rsid w:val="0059063E"/>
    <w:rsid w:val="005A2368"/>
    <w:rsid w:val="005A4855"/>
    <w:rsid w:val="005B7E51"/>
    <w:rsid w:val="005E540B"/>
    <w:rsid w:val="005E6F14"/>
    <w:rsid w:val="005F1548"/>
    <w:rsid w:val="00604B4A"/>
    <w:rsid w:val="0061620B"/>
    <w:rsid w:val="0062209E"/>
    <w:rsid w:val="00624D3B"/>
    <w:rsid w:val="0064772D"/>
    <w:rsid w:val="0065536E"/>
    <w:rsid w:val="006562DA"/>
    <w:rsid w:val="00664850"/>
    <w:rsid w:val="00690437"/>
    <w:rsid w:val="00691E88"/>
    <w:rsid w:val="006D5409"/>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71CEB"/>
    <w:rsid w:val="007854AB"/>
    <w:rsid w:val="0079412D"/>
    <w:rsid w:val="007A216E"/>
    <w:rsid w:val="007A50F0"/>
    <w:rsid w:val="007B327D"/>
    <w:rsid w:val="007C2AE1"/>
    <w:rsid w:val="007D197C"/>
    <w:rsid w:val="007F3C85"/>
    <w:rsid w:val="00813785"/>
    <w:rsid w:val="00822603"/>
    <w:rsid w:val="008249B4"/>
    <w:rsid w:val="008276B8"/>
    <w:rsid w:val="00831A17"/>
    <w:rsid w:val="00832CF9"/>
    <w:rsid w:val="008355EF"/>
    <w:rsid w:val="00843DD6"/>
    <w:rsid w:val="00846DDB"/>
    <w:rsid w:val="008542EC"/>
    <w:rsid w:val="00856858"/>
    <w:rsid w:val="00862CCB"/>
    <w:rsid w:val="00882EC4"/>
    <w:rsid w:val="008862E1"/>
    <w:rsid w:val="00887A6F"/>
    <w:rsid w:val="00897AEF"/>
    <w:rsid w:val="008A46AD"/>
    <w:rsid w:val="008C2F28"/>
    <w:rsid w:val="008D4655"/>
    <w:rsid w:val="008D5C4F"/>
    <w:rsid w:val="008E0CD4"/>
    <w:rsid w:val="008E1A01"/>
    <w:rsid w:val="008E317A"/>
    <w:rsid w:val="008E4E24"/>
    <w:rsid w:val="008E5A63"/>
    <w:rsid w:val="008E65E2"/>
    <w:rsid w:val="009400D0"/>
    <w:rsid w:val="00946C1D"/>
    <w:rsid w:val="009561EC"/>
    <w:rsid w:val="009627CB"/>
    <w:rsid w:val="00963A13"/>
    <w:rsid w:val="00970A81"/>
    <w:rsid w:val="00984842"/>
    <w:rsid w:val="009A6775"/>
    <w:rsid w:val="009C3668"/>
    <w:rsid w:val="009C613A"/>
    <w:rsid w:val="009D1543"/>
    <w:rsid w:val="00A26420"/>
    <w:rsid w:val="00A46933"/>
    <w:rsid w:val="00A70FE3"/>
    <w:rsid w:val="00A82991"/>
    <w:rsid w:val="00A90A13"/>
    <w:rsid w:val="00A935A1"/>
    <w:rsid w:val="00A973D5"/>
    <w:rsid w:val="00AA4D4A"/>
    <w:rsid w:val="00AD236E"/>
    <w:rsid w:val="00AD5880"/>
    <w:rsid w:val="00AE6B2F"/>
    <w:rsid w:val="00AF18DF"/>
    <w:rsid w:val="00AF582F"/>
    <w:rsid w:val="00B02829"/>
    <w:rsid w:val="00B06987"/>
    <w:rsid w:val="00B06B5C"/>
    <w:rsid w:val="00B414CE"/>
    <w:rsid w:val="00B43838"/>
    <w:rsid w:val="00B46E6F"/>
    <w:rsid w:val="00B54F43"/>
    <w:rsid w:val="00B616DB"/>
    <w:rsid w:val="00B62989"/>
    <w:rsid w:val="00B833AA"/>
    <w:rsid w:val="00BA2478"/>
    <w:rsid w:val="00BB34D9"/>
    <w:rsid w:val="00BB4747"/>
    <w:rsid w:val="00BC785A"/>
    <w:rsid w:val="00C16ADB"/>
    <w:rsid w:val="00C176BD"/>
    <w:rsid w:val="00C270FD"/>
    <w:rsid w:val="00C30C1F"/>
    <w:rsid w:val="00C362C9"/>
    <w:rsid w:val="00C4785A"/>
    <w:rsid w:val="00C545F0"/>
    <w:rsid w:val="00C77C17"/>
    <w:rsid w:val="00C86028"/>
    <w:rsid w:val="00CA6670"/>
    <w:rsid w:val="00CD419B"/>
    <w:rsid w:val="00CE6B8A"/>
    <w:rsid w:val="00D050B7"/>
    <w:rsid w:val="00D25202"/>
    <w:rsid w:val="00D308D1"/>
    <w:rsid w:val="00D47355"/>
    <w:rsid w:val="00D70BA2"/>
    <w:rsid w:val="00D7181B"/>
    <w:rsid w:val="00DA434C"/>
    <w:rsid w:val="00DB062C"/>
    <w:rsid w:val="00DD2B3E"/>
    <w:rsid w:val="00DF16AF"/>
    <w:rsid w:val="00DF6CC2"/>
    <w:rsid w:val="00E14675"/>
    <w:rsid w:val="00E214AC"/>
    <w:rsid w:val="00E25B65"/>
    <w:rsid w:val="00E3222E"/>
    <w:rsid w:val="00E56A95"/>
    <w:rsid w:val="00E72427"/>
    <w:rsid w:val="00E734FF"/>
    <w:rsid w:val="00E800EF"/>
    <w:rsid w:val="00EA1B39"/>
    <w:rsid w:val="00EA61B6"/>
    <w:rsid w:val="00EB365A"/>
    <w:rsid w:val="00ED2C5E"/>
    <w:rsid w:val="00ED3ABD"/>
    <w:rsid w:val="00EE28D1"/>
    <w:rsid w:val="00EF7048"/>
    <w:rsid w:val="00F10F0C"/>
    <w:rsid w:val="00F16921"/>
    <w:rsid w:val="00F44CD2"/>
    <w:rsid w:val="00F744AB"/>
    <w:rsid w:val="00F74791"/>
    <w:rsid w:val="00F74BDC"/>
    <w:rsid w:val="00FB2C7F"/>
    <w:rsid w:val="00FC1A9F"/>
    <w:rsid w:val="00FE11D3"/>
    <w:rsid w:val="00FE5FD3"/>
    <w:rsid w:val="00FF492C"/>
    <w:rsid w:val="44DF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table" w:styleId="TableGrid">
    <w:name w:val="Table Grid"/>
    <w:basedOn w:val="TableNormal"/>
    <w:uiPriority w:val="39"/>
    <w:rsid w:val="00622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menu-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2022-06-16T10:53:00Z</dcterms:created>
  <dcterms:modified xsi:type="dcterms:W3CDTF">2022-06-16T13:51:00Z</dcterms:modified>
</cp:coreProperties>
</file>