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080EF972" w:rsidR="00ED3ABD" w:rsidRDefault="00357292" w:rsidP="00ED3ABD">
      <w:pPr>
        <w:spacing w:after="0" w:line="240" w:lineRule="auto"/>
        <w:rPr>
          <w:rFonts w:ascii="Arial" w:hAnsi="Arial" w:cs="Arial"/>
          <w:b/>
          <w:bCs/>
          <w:sz w:val="18"/>
          <w:szCs w:val="18"/>
        </w:rPr>
      </w:pPr>
      <w:hyperlink r:id="rId6" w:history="1">
        <w:r w:rsidR="008355EF" w:rsidRPr="00670A7F">
          <w:rPr>
            <w:rStyle w:val="Hyperlink"/>
            <w:rFonts w:ascii="Arial" w:hAnsi="Arial" w:cs="Arial"/>
            <w:b/>
            <w:bCs/>
            <w:sz w:val="18"/>
            <w:szCs w:val="18"/>
          </w:rPr>
          <w:t>Giorgio.rigali@lumina-intelligence.com</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A49F7F9" w:rsidR="00ED3ABD" w:rsidRPr="00550B08" w:rsidRDefault="00FB12B5"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357292">
        <w:rPr>
          <w:rStyle w:val="Hyperlink"/>
          <w:rFonts w:ascii="Arial" w:hAnsi="Arial" w:cs="Arial"/>
          <w:b/>
          <w:bCs/>
          <w:color w:val="505050"/>
          <w:sz w:val="18"/>
          <w:szCs w:val="18"/>
          <w:u w:val="none"/>
        </w:rPr>
        <w:t>8</w:t>
      </w:r>
      <w:r w:rsidR="008E65E2">
        <w:rPr>
          <w:rStyle w:val="Hyperlink"/>
          <w:rFonts w:ascii="Arial" w:hAnsi="Arial" w:cs="Arial"/>
          <w:b/>
          <w:bCs/>
          <w:color w:val="505050"/>
          <w:sz w:val="18"/>
          <w:szCs w:val="18"/>
          <w:u w:val="none"/>
        </w:rPr>
        <w:t xml:space="preserve"> </w:t>
      </w:r>
      <w:r w:rsidR="00B62989">
        <w:rPr>
          <w:rStyle w:val="Hyperlink"/>
          <w:rFonts w:ascii="Arial" w:hAnsi="Arial" w:cs="Arial"/>
          <w:b/>
          <w:bCs/>
          <w:color w:val="505050"/>
          <w:sz w:val="18"/>
          <w:szCs w:val="18"/>
          <w:u w:val="none"/>
        </w:rPr>
        <w:t>Ju</w:t>
      </w:r>
      <w:r>
        <w:rPr>
          <w:rStyle w:val="Hyperlink"/>
          <w:rFonts w:ascii="Arial" w:hAnsi="Arial" w:cs="Arial"/>
          <w:b/>
          <w:bCs/>
          <w:color w:val="505050"/>
          <w:sz w:val="18"/>
          <w:szCs w:val="18"/>
          <w:u w:val="none"/>
        </w:rPr>
        <w:t>ly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E65E2">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502C0A40" w14:textId="77700794" w:rsidR="00053A7D" w:rsidRDefault="00FB12B5" w:rsidP="00053A7D">
      <w:pPr>
        <w:jc w:val="center"/>
        <w:rPr>
          <w:rFonts w:ascii="Arial" w:hAnsi="Arial" w:cs="Arial"/>
          <w:b/>
          <w:bCs/>
          <w:sz w:val="32"/>
          <w:szCs w:val="32"/>
        </w:rPr>
      </w:pPr>
      <w:r>
        <w:rPr>
          <w:rFonts w:ascii="Arial" w:hAnsi="Arial" w:cs="Arial"/>
          <w:b/>
          <w:bCs/>
          <w:sz w:val="32"/>
          <w:szCs w:val="32"/>
        </w:rPr>
        <w:t xml:space="preserve">Premium beer brands </w:t>
      </w:r>
      <w:r w:rsidR="00F74B35">
        <w:rPr>
          <w:rFonts w:ascii="Arial" w:hAnsi="Arial" w:cs="Arial"/>
          <w:b/>
          <w:bCs/>
          <w:sz w:val="32"/>
          <w:szCs w:val="32"/>
        </w:rPr>
        <w:t>becoming more prominent</w:t>
      </w:r>
      <w:r>
        <w:rPr>
          <w:rFonts w:ascii="Arial" w:hAnsi="Arial" w:cs="Arial"/>
          <w:b/>
          <w:bCs/>
          <w:sz w:val="32"/>
          <w:szCs w:val="32"/>
        </w:rPr>
        <w:t xml:space="preserve"> </w:t>
      </w:r>
      <w:r w:rsidR="009F0FE3">
        <w:rPr>
          <w:rFonts w:ascii="Arial" w:hAnsi="Arial" w:cs="Arial"/>
          <w:b/>
          <w:bCs/>
          <w:sz w:val="32"/>
          <w:szCs w:val="32"/>
        </w:rPr>
        <w:t xml:space="preserve">on </w:t>
      </w:r>
      <w:r>
        <w:rPr>
          <w:rFonts w:ascii="Arial" w:hAnsi="Arial" w:cs="Arial"/>
          <w:b/>
          <w:bCs/>
          <w:sz w:val="32"/>
          <w:szCs w:val="32"/>
        </w:rPr>
        <w:t xml:space="preserve">UK </w:t>
      </w:r>
      <w:r w:rsidR="00F74B35">
        <w:rPr>
          <w:rFonts w:ascii="Arial" w:hAnsi="Arial" w:cs="Arial"/>
          <w:b/>
          <w:bCs/>
          <w:sz w:val="32"/>
          <w:szCs w:val="32"/>
        </w:rPr>
        <w:t>pub and bar drinks menus</w:t>
      </w:r>
    </w:p>
    <w:p w14:paraId="44D85B22" w14:textId="1626733E" w:rsidR="00FB12B5" w:rsidRDefault="009400D0" w:rsidP="00A973D5">
      <w:pPr>
        <w:rPr>
          <w:rFonts w:ascii="Arial" w:hAnsi="Arial" w:cs="Arial"/>
          <w:sz w:val="20"/>
          <w:szCs w:val="20"/>
        </w:rPr>
      </w:pPr>
      <w:r w:rsidRPr="009400D0">
        <w:rPr>
          <w:rFonts w:ascii="Arial" w:hAnsi="Arial" w:cs="Arial"/>
          <w:sz w:val="20"/>
          <w:szCs w:val="20"/>
        </w:rPr>
        <w:t xml:space="preserve">According to </w:t>
      </w:r>
      <w:r w:rsidR="00FF492C">
        <w:rPr>
          <w:rFonts w:ascii="Arial" w:hAnsi="Arial" w:cs="Arial"/>
          <w:sz w:val="20"/>
          <w:szCs w:val="20"/>
        </w:rPr>
        <w:t xml:space="preserve">data </w:t>
      </w:r>
      <w:r w:rsidR="00FB12B5">
        <w:rPr>
          <w:rFonts w:ascii="Arial" w:hAnsi="Arial" w:cs="Arial"/>
          <w:sz w:val="20"/>
          <w:szCs w:val="20"/>
        </w:rPr>
        <w:t xml:space="preserve">from Lumina Intelligence’s Menu Tracker, presented at the MCA Pub Conference, premium beer brands are becoming more prominent on operator menus across UK </w:t>
      </w:r>
      <w:r w:rsidR="00F74B35">
        <w:rPr>
          <w:rFonts w:ascii="Arial" w:hAnsi="Arial" w:cs="Arial"/>
          <w:sz w:val="20"/>
          <w:szCs w:val="20"/>
        </w:rPr>
        <w:t>pub and bar drinks menus</w:t>
      </w:r>
      <w:r w:rsidR="00FB12B5">
        <w:rPr>
          <w:rFonts w:ascii="Arial" w:hAnsi="Arial" w:cs="Arial"/>
          <w:sz w:val="20"/>
          <w:szCs w:val="20"/>
        </w:rPr>
        <w:t>.</w:t>
      </w:r>
    </w:p>
    <w:p w14:paraId="786892CD" w14:textId="6E9E00C1" w:rsidR="00F74B35" w:rsidRPr="00F74B35" w:rsidRDefault="00F74B35" w:rsidP="00A973D5">
      <w:pPr>
        <w:rPr>
          <w:rFonts w:ascii="Arial" w:hAnsi="Arial" w:cs="Arial"/>
          <w:b/>
          <w:bCs/>
        </w:rPr>
      </w:pPr>
      <w:r w:rsidRPr="00F74B35">
        <w:rPr>
          <w:rFonts w:ascii="Arial" w:hAnsi="Arial" w:cs="Arial"/>
          <w:b/>
          <w:bCs/>
        </w:rPr>
        <w:t>Operators target more premium beer bottles/cans</w:t>
      </w:r>
    </w:p>
    <w:p w14:paraId="53421DBF" w14:textId="6257C10F" w:rsidR="00FB12B5" w:rsidRDefault="00F74B35" w:rsidP="00A973D5">
      <w:pPr>
        <w:rPr>
          <w:rFonts w:ascii="Arial" w:hAnsi="Arial" w:cs="Arial"/>
          <w:sz w:val="20"/>
          <w:szCs w:val="20"/>
        </w:rPr>
      </w:pPr>
      <w:r>
        <w:rPr>
          <w:rFonts w:ascii="Arial" w:hAnsi="Arial" w:cs="Arial"/>
          <w:sz w:val="20"/>
          <w:szCs w:val="20"/>
        </w:rPr>
        <w:t xml:space="preserve">Data collected in May 2022 shows that </w:t>
      </w:r>
      <w:proofErr w:type="spellStart"/>
      <w:r>
        <w:rPr>
          <w:rFonts w:ascii="Arial" w:hAnsi="Arial" w:cs="Arial"/>
          <w:sz w:val="20"/>
          <w:szCs w:val="20"/>
        </w:rPr>
        <w:t>Brewdog</w:t>
      </w:r>
      <w:proofErr w:type="spellEnd"/>
      <w:r>
        <w:rPr>
          <w:rFonts w:ascii="Arial" w:hAnsi="Arial" w:cs="Arial"/>
          <w:sz w:val="20"/>
          <w:szCs w:val="20"/>
        </w:rPr>
        <w:t xml:space="preserve"> accounts for</w:t>
      </w:r>
      <w:r w:rsidR="00A84B35">
        <w:rPr>
          <w:rFonts w:ascii="Arial" w:hAnsi="Arial" w:cs="Arial"/>
          <w:sz w:val="20"/>
          <w:szCs w:val="20"/>
        </w:rPr>
        <w:t xml:space="preserve"> </w:t>
      </w:r>
      <w:r>
        <w:rPr>
          <w:rFonts w:ascii="Arial" w:hAnsi="Arial" w:cs="Arial"/>
          <w:sz w:val="20"/>
          <w:szCs w:val="20"/>
        </w:rPr>
        <w:t xml:space="preserve">19% of all 330ml beer bottles or cans on </w:t>
      </w:r>
      <w:r w:rsidR="009F0FE3">
        <w:rPr>
          <w:rFonts w:ascii="Arial" w:hAnsi="Arial" w:cs="Arial"/>
          <w:sz w:val="20"/>
          <w:szCs w:val="20"/>
        </w:rPr>
        <w:t xml:space="preserve">the menus of 20 largest pub and bar brands in the UK </w:t>
      </w:r>
      <w:r>
        <w:rPr>
          <w:rFonts w:ascii="Arial" w:hAnsi="Arial" w:cs="Arial"/>
          <w:sz w:val="20"/>
          <w:szCs w:val="20"/>
        </w:rPr>
        <w:t>- an increase of 1ppt versus February 2022, Heineken accounts for 7% - an increase of 5ppts and Amstel accounts for 3% - an increase of 1ppt.</w:t>
      </w:r>
    </w:p>
    <w:p w14:paraId="5CD77614" w14:textId="31456D96" w:rsidR="00F74B35" w:rsidRDefault="00F74B35" w:rsidP="00F74B35">
      <w:pPr>
        <w:rPr>
          <w:rFonts w:ascii="Arial" w:hAnsi="Arial" w:cs="Arial"/>
          <w:sz w:val="20"/>
          <w:szCs w:val="20"/>
        </w:rPr>
      </w:pPr>
      <w:r>
        <w:rPr>
          <w:rFonts w:ascii="Arial" w:hAnsi="Arial" w:cs="Arial"/>
          <w:sz w:val="20"/>
          <w:szCs w:val="20"/>
        </w:rPr>
        <w:t xml:space="preserve">All three of these brands are more expensive than the </w:t>
      </w:r>
      <w:r w:rsidRPr="00F74B35">
        <w:rPr>
          <w:rFonts w:ascii="Arial" w:hAnsi="Arial" w:cs="Arial"/>
          <w:sz w:val="20"/>
          <w:szCs w:val="20"/>
        </w:rPr>
        <w:t>average price of beer on menus</w:t>
      </w:r>
      <w:r>
        <w:rPr>
          <w:rFonts w:ascii="Arial" w:hAnsi="Arial" w:cs="Arial"/>
          <w:sz w:val="20"/>
          <w:szCs w:val="20"/>
        </w:rPr>
        <w:t xml:space="preserve"> – </w:t>
      </w:r>
      <w:proofErr w:type="spellStart"/>
      <w:r>
        <w:rPr>
          <w:rFonts w:ascii="Arial" w:hAnsi="Arial" w:cs="Arial"/>
          <w:sz w:val="20"/>
          <w:szCs w:val="20"/>
        </w:rPr>
        <w:t>Brewdog</w:t>
      </w:r>
      <w:proofErr w:type="spellEnd"/>
      <w:r>
        <w:rPr>
          <w:rFonts w:ascii="Arial" w:hAnsi="Arial" w:cs="Arial"/>
          <w:sz w:val="20"/>
          <w:szCs w:val="20"/>
        </w:rPr>
        <w:t xml:space="preserve"> is </w:t>
      </w:r>
      <w:r w:rsidRPr="00F74B35">
        <w:rPr>
          <w:rFonts w:ascii="Arial" w:hAnsi="Arial" w:cs="Arial"/>
          <w:sz w:val="20"/>
          <w:szCs w:val="20"/>
        </w:rPr>
        <w:t>+12.5% more, Heineken +2.6% and Amstel +5</w:t>
      </w:r>
      <w:r>
        <w:rPr>
          <w:rFonts w:ascii="Arial" w:hAnsi="Arial" w:cs="Arial"/>
          <w:sz w:val="20"/>
          <w:szCs w:val="20"/>
        </w:rPr>
        <w:t>.0</w:t>
      </w:r>
      <w:r w:rsidRPr="00F74B35">
        <w:rPr>
          <w:rFonts w:ascii="Arial" w:hAnsi="Arial" w:cs="Arial"/>
          <w:sz w:val="20"/>
          <w:szCs w:val="20"/>
        </w:rPr>
        <w:t>%</w:t>
      </w:r>
      <w:r>
        <w:rPr>
          <w:rFonts w:ascii="Arial" w:hAnsi="Arial" w:cs="Arial"/>
          <w:sz w:val="20"/>
          <w:szCs w:val="20"/>
        </w:rPr>
        <w:t>.</w:t>
      </w:r>
    </w:p>
    <w:p w14:paraId="499BFA93" w14:textId="7386BFC3" w:rsidR="00FB12B5" w:rsidRPr="00F74B35" w:rsidRDefault="00F74B35" w:rsidP="00A973D5">
      <w:pPr>
        <w:rPr>
          <w:rFonts w:ascii="Arial" w:hAnsi="Arial" w:cs="Arial"/>
          <w:b/>
          <w:bCs/>
        </w:rPr>
      </w:pPr>
      <w:r w:rsidRPr="00F74B35">
        <w:rPr>
          <w:rFonts w:ascii="Arial" w:hAnsi="Arial" w:cs="Arial"/>
          <w:b/>
          <w:bCs/>
        </w:rPr>
        <w:t>Whiskey growing in presence</w:t>
      </w:r>
    </w:p>
    <w:p w14:paraId="13778C3C" w14:textId="072B5E10" w:rsidR="00F74B35" w:rsidRDefault="00F74B35" w:rsidP="00F74B35">
      <w:pPr>
        <w:rPr>
          <w:rFonts w:ascii="Arial" w:hAnsi="Arial" w:cs="Arial"/>
          <w:sz w:val="20"/>
          <w:szCs w:val="20"/>
        </w:rPr>
      </w:pPr>
      <w:r>
        <w:rPr>
          <w:rFonts w:ascii="Arial" w:hAnsi="Arial" w:cs="Arial"/>
          <w:sz w:val="20"/>
          <w:szCs w:val="20"/>
        </w:rPr>
        <w:t xml:space="preserve">As well as premium beer brands, operators are turning to spirits to drive higher spend. </w:t>
      </w:r>
      <w:r w:rsidR="004A090C">
        <w:rPr>
          <w:rFonts w:ascii="Arial" w:hAnsi="Arial" w:cs="Arial"/>
          <w:sz w:val="20"/>
          <w:szCs w:val="20"/>
        </w:rPr>
        <w:t xml:space="preserve">In </w:t>
      </w:r>
      <w:r w:rsidRPr="00F74B35">
        <w:rPr>
          <w:rFonts w:ascii="Arial" w:hAnsi="Arial" w:cs="Arial"/>
          <w:sz w:val="20"/>
          <w:szCs w:val="20"/>
        </w:rPr>
        <w:t>April 2022</w:t>
      </w:r>
      <w:r>
        <w:rPr>
          <w:rFonts w:ascii="Arial" w:hAnsi="Arial" w:cs="Arial"/>
          <w:sz w:val="20"/>
          <w:szCs w:val="20"/>
        </w:rPr>
        <w:t>,</w:t>
      </w:r>
      <w:r w:rsidRPr="00F74B35">
        <w:rPr>
          <w:rFonts w:ascii="Arial" w:hAnsi="Arial" w:cs="Arial"/>
          <w:sz w:val="20"/>
          <w:szCs w:val="20"/>
        </w:rPr>
        <w:t xml:space="preserve"> gin </w:t>
      </w:r>
      <w:r w:rsidR="004A090C">
        <w:rPr>
          <w:rFonts w:ascii="Arial" w:hAnsi="Arial" w:cs="Arial"/>
          <w:sz w:val="20"/>
          <w:szCs w:val="20"/>
        </w:rPr>
        <w:t>was</w:t>
      </w:r>
      <w:r>
        <w:rPr>
          <w:rFonts w:ascii="Arial" w:hAnsi="Arial" w:cs="Arial"/>
          <w:sz w:val="20"/>
          <w:szCs w:val="20"/>
        </w:rPr>
        <w:t xml:space="preserve"> the most prominent spirit to feature on </w:t>
      </w:r>
      <w:r w:rsidR="004A090C">
        <w:rPr>
          <w:rFonts w:ascii="Arial" w:hAnsi="Arial" w:cs="Arial"/>
          <w:sz w:val="20"/>
          <w:szCs w:val="20"/>
        </w:rPr>
        <w:t xml:space="preserve">pub menus – accounting for 37% of all spirits on menus. Whiskey is the next highest and has grown its share since February – accounting for 17% of all spirits on a pub/bar menu. </w:t>
      </w:r>
      <w:r w:rsidRPr="00F74B35">
        <w:rPr>
          <w:rFonts w:ascii="Arial" w:hAnsi="Arial" w:cs="Arial"/>
          <w:sz w:val="20"/>
          <w:szCs w:val="20"/>
        </w:rPr>
        <w:t xml:space="preserve">Operators are expanding </w:t>
      </w:r>
      <w:r w:rsidR="004A090C">
        <w:rPr>
          <w:rFonts w:ascii="Arial" w:hAnsi="Arial" w:cs="Arial"/>
          <w:sz w:val="20"/>
          <w:szCs w:val="20"/>
        </w:rPr>
        <w:t xml:space="preserve">their </w:t>
      </w:r>
      <w:r w:rsidRPr="00F74B35">
        <w:rPr>
          <w:rFonts w:ascii="Arial" w:hAnsi="Arial" w:cs="Arial"/>
          <w:sz w:val="20"/>
          <w:szCs w:val="20"/>
        </w:rPr>
        <w:t>ranges of these more premium drinks, with the average price of whiskey on drinks menus +1% more expensive than total spirits.</w:t>
      </w:r>
    </w:p>
    <w:p w14:paraId="25C44057" w14:textId="331312B2" w:rsidR="004A090C" w:rsidRPr="00DE3EF5" w:rsidRDefault="004A090C" w:rsidP="00F74B35">
      <w:pPr>
        <w:rPr>
          <w:rFonts w:ascii="Arial" w:hAnsi="Arial" w:cs="Arial"/>
          <w:b/>
          <w:bCs/>
        </w:rPr>
      </w:pPr>
      <w:r w:rsidRPr="00DE3EF5">
        <w:rPr>
          <w:rFonts w:ascii="Arial" w:hAnsi="Arial" w:cs="Arial"/>
          <w:b/>
          <w:bCs/>
        </w:rPr>
        <w:t>Customisable</w:t>
      </w:r>
      <w:r w:rsidR="00C43C99" w:rsidRPr="00DE3EF5">
        <w:rPr>
          <w:rFonts w:ascii="Arial" w:hAnsi="Arial" w:cs="Arial"/>
          <w:b/>
          <w:bCs/>
        </w:rPr>
        <w:t xml:space="preserve"> dishes</w:t>
      </w:r>
      <w:r w:rsidRPr="00DE3EF5">
        <w:rPr>
          <w:rFonts w:ascii="Arial" w:hAnsi="Arial" w:cs="Arial"/>
          <w:b/>
          <w:bCs/>
        </w:rPr>
        <w:t xml:space="preserve"> </w:t>
      </w:r>
      <w:r w:rsidR="00C43C99" w:rsidRPr="00DE3EF5">
        <w:rPr>
          <w:rFonts w:ascii="Arial" w:hAnsi="Arial" w:cs="Arial"/>
          <w:b/>
          <w:bCs/>
        </w:rPr>
        <w:t>drive efficiencies</w:t>
      </w:r>
    </w:p>
    <w:p w14:paraId="221C7C9A" w14:textId="40147DF6" w:rsidR="00C43C99" w:rsidRPr="00C43C99" w:rsidRDefault="00C43C99" w:rsidP="00C43C99">
      <w:pPr>
        <w:rPr>
          <w:rFonts w:ascii="Arial" w:hAnsi="Arial" w:cs="Arial"/>
          <w:sz w:val="20"/>
          <w:szCs w:val="20"/>
        </w:rPr>
      </w:pPr>
      <w:r>
        <w:rPr>
          <w:rFonts w:ascii="Arial" w:hAnsi="Arial" w:cs="Arial"/>
          <w:sz w:val="20"/>
          <w:szCs w:val="20"/>
        </w:rPr>
        <w:t>Pub opera</w:t>
      </w:r>
      <w:r w:rsidRPr="00C43C99">
        <w:rPr>
          <w:rFonts w:ascii="Arial" w:hAnsi="Arial" w:cs="Arial"/>
          <w:sz w:val="20"/>
          <w:szCs w:val="20"/>
        </w:rPr>
        <w:t xml:space="preserve">tors are </w:t>
      </w:r>
      <w:r>
        <w:rPr>
          <w:rFonts w:ascii="Arial" w:hAnsi="Arial" w:cs="Arial"/>
          <w:sz w:val="20"/>
          <w:szCs w:val="20"/>
        </w:rPr>
        <w:t xml:space="preserve">not just turning to drinks </w:t>
      </w:r>
      <w:proofErr w:type="gramStart"/>
      <w:r>
        <w:rPr>
          <w:rFonts w:ascii="Arial" w:hAnsi="Arial" w:cs="Arial"/>
          <w:sz w:val="20"/>
          <w:szCs w:val="20"/>
        </w:rPr>
        <w:t>in order to</w:t>
      </w:r>
      <w:proofErr w:type="gramEnd"/>
      <w:r>
        <w:rPr>
          <w:rFonts w:ascii="Arial" w:hAnsi="Arial" w:cs="Arial"/>
          <w:sz w:val="20"/>
          <w:szCs w:val="20"/>
        </w:rPr>
        <w:t xml:space="preserve"> drive spend and premiumise. Operators are introducing new customisable dishes</w:t>
      </w:r>
      <w:r w:rsidRPr="00C43C99">
        <w:rPr>
          <w:rFonts w:ascii="Arial" w:hAnsi="Arial" w:cs="Arial"/>
          <w:sz w:val="20"/>
          <w:szCs w:val="20"/>
        </w:rPr>
        <w:t xml:space="preserve"> </w:t>
      </w:r>
      <w:proofErr w:type="gramStart"/>
      <w:r>
        <w:rPr>
          <w:rFonts w:ascii="Arial" w:hAnsi="Arial" w:cs="Arial"/>
          <w:sz w:val="20"/>
          <w:szCs w:val="20"/>
        </w:rPr>
        <w:t>in order to</w:t>
      </w:r>
      <w:proofErr w:type="gramEnd"/>
      <w:r w:rsidRPr="00C43C99">
        <w:rPr>
          <w:rFonts w:ascii="Arial" w:hAnsi="Arial" w:cs="Arial"/>
          <w:sz w:val="20"/>
          <w:szCs w:val="20"/>
        </w:rPr>
        <w:t xml:space="preserve"> </w:t>
      </w:r>
      <w:r>
        <w:rPr>
          <w:rFonts w:ascii="Arial" w:hAnsi="Arial" w:cs="Arial"/>
          <w:sz w:val="20"/>
          <w:szCs w:val="20"/>
        </w:rPr>
        <w:t xml:space="preserve">increase </w:t>
      </w:r>
      <w:r w:rsidRPr="00C43C99">
        <w:rPr>
          <w:rFonts w:ascii="Arial" w:hAnsi="Arial" w:cs="Arial"/>
          <w:sz w:val="20"/>
          <w:szCs w:val="20"/>
        </w:rPr>
        <w:t>price points on menus whilst also managing staff shortages and boosting consumer satisfaction</w:t>
      </w:r>
      <w:r>
        <w:rPr>
          <w:rFonts w:ascii="Arial" w:hAnsi="Arial" w:cs="Arial"/>
          <w:sz w:val="20"/>
          <w:szCs w:val="20"/>
        </w:rPr>
        <w:t>.</w:t>
      </w:r>
    </w:p>
    <w:p w14:paraId="7FDE46FC" w14:textId="7CFF44AF" w:rsidR="00C43C99" w:rsidRDefault="00C43C99" w:rsidP="00C43C99">
      <w:pPr>
        <w:rPr>
          <w:rFonts w:ascii="Arial" w:hAnsi="Arial" w:cs="Arial"/>
          <w:sz w:val="20"/>
          <w:szCs w:val="20"/>
        </w:rPr>
      </w:pPr>
      <w:r>
        <w:rPr>
          <w:rFonts w:ascii="Arial" w:hAnsi="Arial" w:cs="Arial"/>
          <w:sz w:val="20"/>
          <w:szCs w:val="20"/>
        </w:rPr>
        <w:t xml:space="preserve">Between February and </w:t>
      </w:r>
      <w:r w:rsidRPr="00C43C99">
        <w:rPr>
          <w:rFonts w:ascii="Arial" w:hAnsi="Arial" w:cs="Arial"/>
          <w:sz w:val="20"/>
          <w:szCs w:val="20"/>
        </w:rPr>
        <w:t>May 2022, 56% of new main</w:t>
      </w:r>
      <w:r>
        <w:rPr>
          <w:rFonts w:ascii="Arial" w:hAnsi="Arial" w:cs="Arial"/>
          <w:sz w:val="20"/>
          <w:szCs w:val="20"/>
        </w:rPr>
        <w:t xml:space="preserve"> dishes on pub menus</w:t>
      </w:r>
      <w:r w:rsidRPr="00C43C99">
        <w:rPr>
          <w:rFonts w:ascii="Arial" w:hAnsi="Arial" w:cs="Arial"/>
          <w:sz w:val="20"/>
          <w:szCs w:val="20"/>
        </w:rPr>
        <w:t xml:space="preserve"> were tagged as customisable, and these dishes were 5% more expensive than </w:t>
      </w:r>
      <w:r>
        <w:rPr>
          <w:rFonts w:ascii="Arial" w:hAnsi="Arial" w:cs="Arial"/>
          <w:sz w:val="20"/>
          <w:szCs w:val="20"/>
        </w:rPr>
        <w:t>the average main course. The price differences are even more prominent across other courses:</w:t>
      </w:r>
    </w:p>
    <w:tbl>
      <w:tblPr>
        <w:tblStyle w:val="TableGrid"/>
        <w:tblW w:w="0" w:type="auto"/>
        <w:tblLook w:val="04A0" w:firstRow="1" w:lastRow="0" w:firstColumn="1" w:lastColumn="0" w:noHBand="0" w:noVBand="1"/>
      </w:tblPr>
      <w:tblGrid>
        <w:gridCol w:w="2135"/>
        <w:gridCol w:w="3250"/>
        <w:gridCol w:w="3631"/>
      </w:tblGrid>
      <w:tr w:rsidR="00C43C99" w14:paraId="792C07A0" w14:textId="77777777" w:rsidTr="00C43C99">
        <w:tc>
          <w:tcPr>
            <w:tcW w:w="3005" w:type="dxa"/>
            <w:shd w:val="clear" w:color="auto" w:fill="44546A" w:themeFill="text2"/>
            <w:vAlign w:val="center"/>
          </w:tcPr>
          <w:p w14:paraId="642BF26A" w14:textId="55E7F85B" w:rsidR="00C43C99" w:rsidRPr="00C43C99" w:rsidRDefault="00C43C99" w:rsidP="00C43C99">
            <w:pPr>
              <w:jc w:val="center"/>
              <w:rPr>
                <w:rFonts w:ascii="Arial" w:hAnsi="Arial" w:cs="Arial"/>
                <w:b/>
                <w:bCs/>
                <w:color w:val="FFFFFF" w:themeColor="background1"/>
                <w:sz w:val="20"/>
                <w:szCs w:val="20"/>
              </w:rPr>
            </w:pPr>
            <w:r w:rsidRPr="00C43C99">
              <w:rPr>
                <w:rFonts w:ascii="Arial" w:hAnsi="Arial" w:cs="Arial"/>
                <w:b/>
                <w:bCs/>
                <w:color w:val="FFFFFF" w:themeColor="background1"/>
                <w:sz w:val="20"/>
                <w:szCs w:val="20"/>
              </w:rPr>
              <w:t>Course</w:t>
            </w:r>
          </w:p>
        </w:tc>
        <w:tc>
          <w:tcPr>
            <w:tcW w:w="4503" w:type="dxa"/>
            <w:shd w:val="clear" w:color="auto" w:fill="44546A" w:themeFill="text2"/>
            <w:vAlign w:val="center"/>
          </w:tcPr>
          <w:p w14:paraId="04FFAA8C" w14:textId="413EC6CD" w:rsidR="00C43C99" w:rsidRPr="00C43C99" w:rsidRDefault="00C43C99" w:rsidP="00C43C99">
            <w:pPr>
              <w:jc w:val="center"/>
              <w:rPr>
                <w:rFonts w:ascii="Arial" w:hAnsi="Arial" w:cs="Arial"/>
                <w:b/>
                <w:bCs/>
                <w:color w:val="FFFFFF" w:themeColor="background1"/>
                <w:sz w:val="20"/>
                <w:szCs w:val="20"/>
              </w:rPr>
            </w:pPr>
            <w:r w:rsidRPr="00C43C99">
              <w:rPr>
                <w:rFonts w:ascii="Arial" w:hAnsi="Arial" w:cs="Arial"/>
                <w:b/>
                <w:bCs/>
                <w:color w:val="FFFFFF" w:themeColor="background1"/>
                <w:sz w:val="20"/>
                <w:szCs w:val="20"/>
              </w:rPr>
              <w:t>Proportion of dishes tagged as new that are customisable Feb-May 2022</w:t>
            </w:r>
          </w:p>
        </w:tc>
        <w:tc>
          <w:tcPr>
            <w:tcW w:w="5387" w:type="dxa"/>
            <w:shd w:val="clear" w:color="auto" w:fill="44546A" w:themeFill="text2"/>
            <w:vAlign w:val="center"/>
          </w:tcPr>
          <w:p w14:paraId="5F3E6EC3" w14:textId="3F530693" w:rsidR="00C43C99" w:rsidRPr="00C43C99" w:rsidRDefault="00C43C99" w:rsidP="00C43C99">
            <w:pPr>
              <w:jc w:val="center"/>
              <w:rPr>
                <w:rFonts w:ascii="Arial" w:hAnsi="Arial" w:cs="Arial"/>
                <w:b/>
                <w:bCs/>
                <w:color w:val="FFFFFF" w:themeColor="background1"/>
                <w:sz w:val="20"/>
                <w:szCs w:val="20"/>
              </w:rPr>
            </w:pPr>
            <w:r w:rsidRPr="00C43C99">
              <w:rPr>
                <w:rFonts w:ascii="Arial" w:hAnsi="Arial" w:cs="Arial"/>
                <w:b/>
                <w:bCs/>
                <w:color w:val="FFFFFF" w:themeColor="background1"/>
                <w:sz w:val="20"/>
                <w:szCs w:val="20"/>
              </w:rPr>
              <w:t>Average dish price difference vs total price</w:t>
            </w:r>
          </w:p>
        </w:tc>
      </w:tr>
      <w:tr w:rsidR="00C43C99" w14:paraId="24B99F97" w14:textId="77777777" w:rsidTr="00C43C99">
        <w:tc>
          <w:tcPr>
            <w:tcW w:w="3005" w:type="dxa"/>
            <w:vAlign w:val="center"/>
          </w:tcPr>
          <w:p w14:paraId="292D8EB2" w14:textId="57EC2D1A" w:rsidR="00C43C99" w:rsidRDefault="00C43C99" w:rsidP="00C43C99">
            <w:pPr>
              <w:jc w:val="center"/>
              <w:rPr>
                <w:rFonts w:ascii="Arial" w:hAnsi="Arial" w:cs="Arial"/>
                <w:sz w:val="20"/>
                <w:szCs w:val="20"/>
              </w:rPr>
            </w:pPr>
            <w:r>
              <w:rPr>
                <w:rFonts w:ascii="Arial" w:hAnsi="Arial" w:cs="Arial"/>
                <w:sz w:val="20"/>
                <w:szCs w:val="20"/>
              </w:rPr>
              <w:t>Total</w:t>
            </w:r>
          </w:p>
        </w:tc>
        <w:tc>
          <w:tcPr>
            <w:tcW w:w="4503" w:type="dxa"/>
            <w:vAlign w:val="center"/>
          </w:tcPr>
          <w:p w14:paraId="53C80905" w14:textId="6EC76F56" w:rsidR="00C43C99" w:rsidRDefault="00C43C99" w:rsidP="00C43C99">
            <w:pPr>
              <w:jc w:val="center"/>
              <w:rPr>
                <w:rFonts w:ascii="Arial" w:hAnsi="Arial" w:cs="Arial"/>
                <w:sz w:val="20"/>
                <w:szCs w:val="20"/>
              </w:rPr>
            </w:pPr>
            <w:r>
              <w:rPr>
                <w:rFonts w:ascii="Arial" w:hAnsi="Arial" w:cs="Arial"/>
                <w:sz w:val="20"/>
                <w:szCs w:val="20"/>
              </w:rPr>
              <w:t>39%</w:t>
            </w:r>
          </w:p>
        </w:tc>
        <w:tc>
          <w:tcPr>
            <w:tcW w:w="5387" w:type="dxa"/>
            <w:vAlign w:val="center"/>
          </w:tcPr>
          <w:p w14:paraId="3C0EF429" w14:textId="48A5FECC" w:rsidR="00C43C99" w:rsidRDefault="00C43C99" w:rsidP="00C43C99">
            <w:pPr>
              <w:jc w:val="center"/>
              <w:rPr>
                <w:rFonts w:ascii="Arial" w:hAnsi="Arial" w:cs="Arial"/>
                <w:sz w:val="20"/>
                <w:szCs w:val="20"/>
              </w:rPr>
            </w:pPr>
            <w:r>
              <w:rPr>
                <w:rFonts w:ascii="Arial" w:hAnsi="Arial" w:cs="Arial"/>
                <w:sz w:val="20"/>
                <w:szCs w:val="20"/>
              </w:rPr>
              <w:t>+25%</w:t>
            </w:r>
          </w:p>
        </w:tc>
      </w:tr>
      <w:tr w:rsidR="00C43C99" w14:paraId="0B788713" w14:textId="77777777" w:rsidTr="00C43C99">
        <w:tc>
          <w:tcPr>
            <w:tcW w:w="3005" w:type="dxa"/>
            <w:vAlign w:val="center"/>
          </w:tcPr>
          <w:p w14:paraId="002C1D68" w14:textId="21FFFC6A" w:rsidR="00C43C99" w:rsidRDefault="00C43C99" w:rsidP="00C43C99">
            <w:pPr>
              <w:jc w:val="center"/>
              <w:rPr>
                <w:rFonts w:ascii="Arial" w:hAnsi="Arial" w:cs="Arial"/>
                <w:sz w:val="20"/>
                <w:szCs w:val="20"/>
              </w:rPr>
            </w:pPr>
            <w:r>
              <w:rPr>
                <w:rFonts w:ascii="Arial" w:hAnsi="Arial" w:cs="Arial"/>
                <w:sz w:val="20"/>
                <w:szCs w:val="20"/>
              </w:rPr>
              <w:t>Starters</w:t>
            </w:r>
          </w:p>
        </w:tc>
        <w:tc>
          <w:tcPr>
            <w:tcW w:w="4503" w:type="dxa"/>
            <w:vAlign w:val="center"/>
          </w:tcPr>
          <w:p w14:paraId="3770BF14" w14:textId="31E4461A" w:rsidR="00C43C99" w:rsidRDefault="00C43C99" w:rsidP="00C43C99">
            <w:pPr>
              <w:jc w:val="center"/>
              <w:rPr>
                <w:rFonts w:ascii="Arial" w:hAnsi="Arial" w:cs="Arial"/>
                <w:sz w:val="20"/>
                <w:szCs w:val="20"/>
              </w:rPr>
            </w:pPr>
            <w:r>
              <w:rPr>
                <w:rFonts w:ascii="Arial" w:hAnsi="Arial" w:cs="Arial"/>
                <w:sz w:val="20"/>
                <w:szCs w:val="20"/>
              </w:rPr>
              <w:t>43%</w:t>
            </w:r>
          </w:p>
        </w:tc>
        <w:tc>
          <w:tcPr>
            <w:tcW w:w="5387" w:type="dxa"/>
            <w:vAlign w:val="center"/>
          </w:tcPr>
          <w:p w14:paraId="7B5F20C1" w14:textId="292FBF99" w:rsidR="00C43C99" w:rsidRDefault="00C43C99" w:rsidP="00C43C99">
            <w:pPr>
              <w:jc w:val="center"/>
              <w:rPr>
                <w:rFonts w:ascii="Arial" w:hAnsi="Arial" w:cs="Arial"/>
                <w:sz w:val="20"/>
                <w:szCs w:val="20"/>
              </w:rPr>
            </w:pPr>
            <w:r>
              <w:rPr>
                <w:rFonts w:ascii="Arial" w:hAnsi="Arial" w:cs="Arial"/>
                <w:sz w:val="20"/>
                <w:szCs w:val="20"/>
              </w:rPr>
              <w:t>+13%</w:t>
            </w:r>
          </w:p>
        </w:tc>
      </w:tr>
      <w:tr w:rsidR="00C43C99" w14:paraId="7C24E045" w14:textId="77777777" w:rsidTr="00C43C99">
        <w:tc>
          <w:tcPr>
            <w:tcW w:w="3005" w:type="dxa"/>
            <w:vAlign w:val="center"/>
          </w:tcPr>
          <w:p w14:paraId="29E29A3A" w14:textId="4A0DB2BD" w:rsidR="00C43C99" w:rsidRDefault="00C43C99" w:rsidP="00C43C99">
            <w:pPr>
              <w:jc w:val="center"/>
              <w:rPr>
                <w:rFonts w:ascii="Arial" w:hAnsi="Arial" w:cs="Arial"/>
                <w:sz w:val="20"/>
                <w:szCs w:val="20"/>
              </w:rPr>
            </w:pPr>
            <w:r>
              <w:rPr>
                <w:rFonts w:ascii="Arial" w:hAnsi="Arial" w:cs="Arial"/>
                <w:sz w:val="20"/>
                <w:szCs w:val="20"/>
              </w:rPr>
              <w:t>Mains</w:t>
            </w:r>
          </w:p>
        </w:tc>
        <w:tc>
          <w:tcPr>
            <w:tcW w:w="4503" w:type="dxa"/>
            <w:vAlign w:val="center"/>
          </w:tcPr>
          <w:p w14:paraId="754370FE" w14:textId="3BF7D9E1" w:rsidR="00C43C99" w:rsidRDefault="00C43C99" w:rsidP="00C43C99">
            <w:pPr>
              <w:jc w:val="center"/>
              <w:rPr>
                <w:rFonts w:ascii="Arial" w:hAnsi="Arial" w:cs="Arial"/>
                <w:sz w:val="20"/>
                <w:szCs w:val="20"/>
              </w:rPr>
            </w:pPr>
            <w:r>
              <w:rPr>
                <w:rFonts w:ascii="Arial" w:hAnsi="Arial" w:cs="Arial"/>
                <w:sz w:val="20"/>
                <w:szCs w:val="20"/>
              </w:rPr>
              <w:t>56%</w:t>
            </w:r>
          </w:p>
        </w:tc>
        <w:tc>
          <w:tcPr>
            <w:tcW w:w="5387" w:type="dxa"/>
            <w:vAlign w:val="center"/>
          </w:tcPr>
          <w:p w14:paraId="3752BCE1" w14:textId="485066E1" w:rsidR="00C43C99" w:rsidRDefault="00C43C99" w:rsidP="00C43C99">
            <w:pPr>
              <w:jc w:val="center"/>
              <w:rPr>
                <w:rFonts w:ascii="Arial" w:hAnsi="Arial" w:cs="Arial"/>
                <w:sz w:val="20"/>
                <w:szCs w:val="20"/>
              </w:rPr>
            </w:pPr>
            <w:r>
              <w:rPr>
                <w:rFonts w:ascii="Arial" w:hAnsi="Arial" w:cs="Arial"/>
                <w:sz w:val="20"/>
                <w:szCs w:val="20"/>
              </w:rPr>
              <w:t>+5%</w:t>
            </w:r>
          </w:p>
        </w:tc>
      </w:tr>
      <w:tr w:rsidR="00C43C99" w14:paraId="773EDD97" w14:textId="77777777" w:rsidTr="00C43C99">
        <w:tc>
          <w:tcPr>
            <w:tcW w:w="3005" w:type="dxa"/>
            <w:vAlign w:val="center"/>
          </w:tcPr>
          <w:p w14:paraId="2DBCC3C8" w14:textId="5AB0A7FA" w:rsidR="00C43C99" w:rsidRDefault="00C43C99" w:rsidP="00C43C99">
            <w:pPr>
              <w:jc w:val="center"/>
              <w:rPr>
                <w:rFonts w:ascii="Arial" w:hAnsi="Arial" w:cs="Arial"/>
                <w:sz w:val="20"/>
                <w:szCs w:val="20"/>
              </w:rPr>
            </w:pPr>
            <w:r>
              <w:rPr>
                <w:rFonts w:ascii="Arial" w:hAnsi="Arial" w:cs="Arial"/>
                <w:sz w:val="20"/>
                <w:szCs w:val="20"/>
              </w:rPr>
              <w:t>Sides</w:t>
            </w:r>
          </w:p>
        </w:tc>
        <w:tc>
          <w:tcPr>
            <w:tcW w:w="4503" w:type="dxa"/>
            <w:vAlign w:val="center"/>
          </w:tcPr>
          <w:p w14:paraId="3DAFAE4B" w14:textId="5D424359" w:rsidR="00C43C99" w:rsidRDefault="00C43C99" w:rsidP="00C43C99">
            <w:pPr>
              <w:jc w:val="center"/>
              <w:rPr>
                <w:rFonts w:ascii="Arial" w:hAnsi="Arial" w:cs="Arial"/>
                <w:sz w:val="20"/>
                <w:szCs w:val="20"/>
              </w:rPr>
            </w:pPr>
            <w:r>
              <w:rPr>
                <w:rFonts w:ascii="Arial" w:hAnsi="Arial" w:cs="Arial"/>
                <w:sz w:val="20"/>
                <w:szCs w:val="20"/>
              </w:rPr>
              <w:t>4%</w:t>
            </w:r>
          </w:p>
        </w:tc>
        <w:tc>
          <w:tcPr>
            <w:tcW w:w="5387" w:type="dxa"/>
            <w:vAlign w:val="center"/>
          </w:tcPr>
          <w:p w14:paraId="17BE3689" w14:textId="3690631E" w:rsidR="00C43C99" w:rsidRDefault="00C43C99" w:rsidP="00C43C99">
            <w:pPr>
              <w:jc w:val="center"/>
              <w:rPr>
                <w:rFonts w:ascii="Arial" w:hAnsi="Arial" w:cs="Arial"/>
                <w:sz w:val="20"/>
                <w:szCs w:val="20"/>
              </w:rPr>
            </w:pPr>
            <w:r>
              <w:rPr>
                <w:rFonts w:ascii="Arial" w:hAnsi="Arial" w:cs="Arial"/>
                <w:sz w:val="20"/>
                <w:szCs w:val="20"/>
              </w:rPr>
              <w:t>+3%</w:t>
            </w:r>
          </w:p>
        </w:tc>
      </w:tr>
    </w:tbl>
    <w:p w14:paraId="70FEE0B4" w14:textId="5C373B0E" w:rsidR="00C43C99" w:rsidRDefault="00C43C99" w:rsidP="00C43C99">
      <w:pPr>
        <w:rPr>
          <w:rFonts w:ascii="Arial" w:hAnsi="Arial" w:cs="Arial"/>
          <w:sz w:val="20"/>
          <w:szCs w:val="20"/>
        </w:rPr>
      </w:pPr>
    </w:p>
    <w:p w14:paraId="4DE17B07" w14:textId="3F8AAC61" w:rsidR="00C43C99" w:rsidRDefault="00C43C99" w:rsidP="00C43C99">
      <w:pPr>
        <w:rPr>
          <w:rFonts w:ascii="Arial" w:hAnsi="Arial" w:cs="Arial"/>
          <w:sz w:val="20"/>
          <w:szCs w:val="20"/>
        </w:rPr>
      </w:pPr>
      <w:r>
        <w:rPr>
          <w:rFonts w:ascii="Arial" w:hAnsi="Arial" w:cs="Arial"/>
          <w:sz w:val="20"/>
          <w:szCs w:val="20"/>
        </w:rPr>
        <w:t xml:space="preserve">Across </w:t>
      </w:r>
      <w:r w:rsidR="00DE3EF5">
        <w:rPr>
          <w:rFonts w:ascii="Arial" w:hAnsi="Arial" w:cs="Arial"/>
          <w:sz w:val="20"/>
          <w:szCs w:val="20"/>
        </w:rPr>
        <w:t>all courses, 39% of all new dishes added to pub and bar menus between February and May 2022 have been customisable and command a +25% higher price point than the average dish.</w:t>
      </w:r>
    </w:p>
    <w:p w14:paraId="78E11BF1" w14:textId="28498BE4" w:rsidR="00DE3EF5" w:rsidRDefault="00DE3EF5" w:rsidP="009400D0">
      <w:pPr>
        <w:rPr>
          <w:rFonts w:ascii="Arial" w:hAnsi="Arial" w:cs="Arial"/>
          <w:i/>
          <w:iCs/>
          <w:sz w:val="20"/>
          <w:szCs w:val="20"/>
        </w:rPr>
      </w:pPr>
      <w:r>
        <w:rPr>
          <w:rFonts w:ascii="Arial" w:hAnsi="Arial" w:cs="Arial"/>
          <w:sz w:val="20"/>
          <w:szCs w:val="20"/>
        </w:rPr>
        <w:t>Speaking at the MCA Pub Conference</w:t>
      </w:r>
      <w:r w:rsidR="009400D0" w:rsidRPr="009400D0">
        <w:rPr>
          <w:rFonts w:ascii="Arial" w:hAnsi="Arial" w:cs="Arial"/>
          <w:sz w:val="20"/>
          <w:szCs w:val="20"/>
        </w:rPr>
        <w:t xml:space="preserve">, </w:t>
      </w:r>
      <w:r>
        <w:rPr>
          <w:rFonts w:ascii="Arial" w:hAnsi="Arial" w:cs="Arial"/>
          <w:sz w:val="20"/>
          <w:szCs w:val="20"/>
        </w:rPr>
        <w:t xml:space="preserve">Senior </w:t>
      </w:r>
      <w:r w:rsidR="009400D0" w:rsidRPr="009400D0">
        <w:rPr>
          <w:rFonts w:ascii="Arial" w:hAnsi="Arial" w:cs="Arial"/>
          <w:sz w:val="20"/>
          <w:szCs w:val="20"/>
        </w:rPr>
        <w:t xml:space="preserve">Insight </w:t>
      </w:r>
      <w:r>
        <w:rPr>
          <w:rFonts w:ascii="Arial" w:hAnsi="Arial" w:cs="Arial"/>
          <w:sz w:val="20"/>
          <w:szCs w:val="20"/>
        </w:rPr>
        <w:t>Manager</w:t>
      </w:r>
      <w:r w:rsidR="009400D0" w:rsidRPr="009400D0">
        <w:rPr>
          <w:rFonts w:ascii="Arial" w:hAnsi="Arial" w:cs="Arial"/>
          <w:sz w:val="20"/>
          <w:szCs w:val="20"/>
        </w:rPr>
        <w:t xml:space="preserve"> at Lumina Intelligence, </w:t>
      </w:r>
      <w:r>
        <w:rPr>
          <w:rFonts w:ascii="Arial" w:hAnsi="Arial" w:cs="Arial"/>
          <w:sz w:val="20"/>
          <w:szCs w:val="20"/>
        </w:rPr>
        <w:t>Katie Prowse</w:t>
      </w:r>
      <w:r w:rsidR="009400D0" w:rsidRPr="009400D0">
        <w:rPr>
          <w:rFonts w:ascii="Arial" w:hAnsi="Arial" w:cs="Arial"/>
          <w:sz w:val="20"/>
          <w:szCs w:val="20"/>
        </w:rPr>
        <w:t xml:space="preserve">, said: </w:t>
      </w:r>
      <w:r w:rsidR="009400D0" w:rsidRPr="009400D0">
        <w:rPr>
          <w:rFonts w:ascii="Arial" w:hAnsi="Arial" w:cs="Arial"/>
          <w:i/>
          <w:iCs/>
          <w:sz w:val="20"/>
          <w:szCs w:val="20"/>
        </w:rPr>
        <w:t>“</w:t>
      </w:r>
      <w:r w:rsidR="009747BA">
        <w:rPr>
          <w:rFonts w:ascii="Arial" w:hAnsi="Arial" w:cs="Arial"/>
          <w:i/>
          <w:iCs/>
          <w:sz w:val="20"/>
          <w:szCs w:val="20"/>
        </w:rPr>
        <w:t xml:space="preserve">Like all hospitality channels, pubs and bars are facing into rising costs and greater scrutiny from consumers. Operators are using tactics to mitigate these challenges and encourage consumers to trade up to more premium products. Increasing availability of more premium beers and spirits is one way </w:t>
      </w:r>
      <w:r w:rsidR="00A06141">
        <w:rPr>
          <w:rFonts w:ascii="Arial" w:hAnsi="Arial" w:cs="Arial"/>
          <w:i/>
          <w:iCs/>
          <w:sz w:val="20"/>
          <w:szCs w:val="20"/>
        </w:rPr>
        <w:t xml:space="preserve">to drive spend, as well as through customisable dishes that encourage consumers to trade-up. </w:t>
      </w:r>
      <w:r w:rsidR="00A06141" w:rsidRPr="00A06141">
        <w:rPr>
          <w:rFonts w:ascii="Arial" w:hAnsi="Arial" w:cs="Arial"/>
          <w:i/>
          <w:iCs/>
          <w:sz w:val="20"/>
          <w:szCs w:val="20"/>
        </w:rPr>
        <w:t>Customisation is an important tool for operators as it allows for consumer choice and taps into trends for experience and personalisation</w:t>
      </w:r>
      <w:r w:rsidR="00A06141">
        <w:rPr>
          <w:rFonts w:ascii="Arial" w:hAnsi="Arial" w:cs="Arial"/>
          <w:i/>
          <w:iCs/>
          <w:sz w:val="20"/>
          <w:szCs w:val="20"/>
        </w:rPr>
        <w:t>.</w:t>
      </w:r>
      <w:r w:rsidR="00A06141" w:rsidRPr="00A06141">
        <w:rPr>
          <w:rFonts w:ascii="Arial" w:hAnsi="Arial" w:cs="Arial"/>
          <w:i/>
          <w:iCs/>
          <w:sz w:val="20"/>
          <w:szCs w:val="20"/>
        </w:rPr>
        <w:t xml:space="preserve"> </w:t>
      </w:r>
      <w:r w:rsidR="00A06141">
        <w:rPr>
          <w:rFonts w:ascii="Arial" w:hAnsi="Arial" w:cs="Arial"/>
          <w:i/>
          <w:iCs/>
          <w:sz w:val="20"/>
          <w:szCs w:val="20"/>
        </w:rPr>
        <w:t>O</w:t>
      </w:r>
      <w:r w:rsidR="00A06141" w:rsidRPr="00A06141">
        <w:rPr>
          <w:rFonts w:ascii="Arial" w:hAnsi="Arial" w:cs="Arial"/>
          <w:i/>
          <w:iCs/>
          <w:sz w:val="20"/>
          <w:szCs w:val="20"/>
        </w:rPr>
        <w:t>perators can achieve this through allowing consumers to ch</w:t>
      </w:r>
      <w:r w:rsidR="00A06141">
        <w:rPr>
          <w:rFonts w:ascii="Arial" w:hAnsi="Arial" w:cs="Arial"/>
          <w:i/>
          <w:iCs/>
          <w:sz w:val="20"/>
          <w:szCs w:val="20"/>
        </w:rPr>
        <w:t>o</w:t>
      </w:r>
      <w:r w:rsidR="00A06141" w:rsidRPr="00A06141">
        <w:rPr>
          <w:rFonts w:ascii="Arial" w:hAnsi="Arial" w:cs="Arial"/>
          <w:i/>
          <w:iCs/>
          <w:sz w:val="20"/>
          <w:szCs w:val="20"/>
        </w:rPr>
        <w:t>ose sides to go with dishes</w:t>
      </w:r>
      <w:r w:rsidR="00A06141">
        <w:rPr>
          <w:rFonts w:ascii="Arial" w:hAnsi="Arial" w:cs="Arial"/>
          <w:i/>
          <w:iCs/>
          <w:sz w:val="20"/>
          <w:szCs w:val="20"/>
        </w:rPr>
        <w:t xml:space="preserve"> or </w:t>
      </w:r>
      <w:r w:rsidR="00A06141" w:rsidRPr="00A06141">
        <w:rPr>
          <w:rFonts w:ascii="Arial" w:hAnsi="Arial" w:cs="Arial"/>
          <w:i/>
          <w:iCs/>
          <w:sz w:val="20"/>
          <w:szCs w:val="20"/>
        </w:rPr>
        <w:t>more premium sauces/toppings</w:t>
      </w:r>
      <w:r w:rsidR="00A06141">
        <w:rPr>
          <w:rFonts w:ascii="Arial" w:hAnsi="Arial" w:cs="Arial"/>
          <w:i/>
          <w:iCs/>
          <w:sz w:val="20"/>
          <w:szCs w:val="20"/>
        </w:rPr>
        <w:t>, which can help</w:t>
      </w:r>
      <w:r w:rsidR="00A06141" w:rsidRPr="00A06141">
        <w:rPr>
          <w:rFonts w:ascii="Arial" w:hAnsi="Arial" w:cs="Arial"/>
          <w:i/>
          <w:iCs/>
          <w:sz w:val="20"/>
          <w:szCs w:val="20"/>
        </w:rPr>
        <w:t xml:space="preserve"> ease</w:t>
      </w:r>
      <w:r w:rsidR="00A06141">
        <w:rPr>
          <w:rFonts w:ascii="Arial" w:hAnsi="Arial" w:cs="Arial"/>
          <w:i/>
          <w:iCs/>
          <w:sz w:val="20"/>
          <w:szCs w:val="20"/>
        </w:rPr>
        <w:t xml:space="preserve"> kitchen</w:t>
      </w:r>
      <w:r w:rsidR="00A06141" w:rsidRPr="00A06141">
        <w:rPr>
          <w:rFonts w:ascii="Arial" w:hAnsi="Arial" w:cs="Arial"/>
          <w:i/>
          <w:iCs/>
          <w:sz w:val="20"/>
          <w:szCs w:val="20"/>
        </w:rPr>
        <w:t xml:space="preserve"> pressures through </w:t>
      </w:r>
      <w:r w:rsidR="00A06141">
        <w:rPr>
          <w:rFonts w:ascii="Arial" w:hAnsi="Arial" w:cs="Arial"/>
          <w:i/>
          <w:iCs/>
          <w:sz w:val="20"/>
          <w:szCs w:val="20"/>
        </w:rPr>
        <w:t>having a more streamlined menu</w:t>
      </w:r>
      <w:r w:rsidR="00A06141" w:rsidRPr="00A06141">
        <w:rPr>
          <w:rFonts w:ascii="Arial" w:hAnsi="Arial" w:cs="Arial"/>
          <w:i/>
          <w:iCs/>
          <w:sz w:val="20"/>
          <w:szCs w:val="20"/>
        </w:rPr>
        <w:t>,</w:t>
      </w:r>
      <w:r w:rsidR="00A06141">
        <w:rPr>
          <w:rFonts w:ascii="Arial" w:hAnsi="Arial" w:cs="Arial"/>
          <w:i/>
          <w:iCs/>
          <w:sz w:val="20"/>
          <w:szCs w:val="20"/>
        </w:rPr>
        <w:t xml:space="preserve"> as well</w:t>
      </w:r>
      <w:r w:rsidR="00A06141" w:rsidRPr="00A06141">
        <w:rPr>
          <w:rFonts w:ascii="Arial" w:hAnsi="Arial" w:cs="Arial"/>
          <w:i/>
          <w:iCs/>
          <w:sz w:val="20"/>
          <w:szCs w:val="20"/>
        </w:rPr>
        <w:t xml:space="preserve"> boost spend through more premium options</w:t>
      </w:r>
      <w:r w:rsidR="00A06141">
        <w:rPr>
          <w:rFonts w:ascii="Arial" w:hAnsi="Arial" w:cs="Arial"/>
          <w:i/>
          <w:iCs/>
          <w:sz w:val="20"/>
          <w:szCs w:val="20"/>
        </w:rPr>
        <w:t>.”</w:t>
      </w:r>
    </w:p>
    <w:p w14:paraId="621435A7" w14:textId="5A4A4FAF" w:rsidR="005E6F14" w:rsidRPr="007464CC" w:rsidRDefault="005E6F14" w:rsidP="005E6F14">
      <w:pPr>
        <w:rPr>
          <w:rFonts w:ascii="Arial" w:hAnsi="Arial" w:cs="Arial"/>
          <w:sz w:val="20"/>
          <w:szCs w:val="20"/>
        </w:rPr>
      </w:pPr>
      <w:r>
        <w:rPr>
          <w:rFonts w:ascii="Arial" w:hAnsi="Arial" w:cs="Arial"/>
          <w:sz w:val="20"/>
          <w:szCs w:val="20"/>
        </w:rPr>
        <w:t xml:space="preserve">Find out more about Lumina Intelligence’s </w:t>
      </w:r>
      <w:r w:rsidR="009627CB">
        <w:rPr>
          <w:rFonts w:ascii="Arial" w:hAnsi="Arial" w:cs="Arial"/>
          <w:sz w:val="20"/>
          <w:szCs w:val="20"/>
        </w:rPr>
        <w:t>Menu Tracker</w:t>
      </w:r>
      <w:r>
        <w:rPr>
          <w:rFonts w:ascii="Arial" w:hAnsi="Arial" w:cs="Arial"/>
          <w:sz w:val="20"/>
          <w:szCs w:val="20"/>
        </w:rPr>
        <w:t xml:space="preserve"> </w:t>
      </w:r>
      <w:hyperlink r:id="rId7" w:history="1">
        <w:r w:rsidRPr="007464CC">
          <w:rPr>
            <w:rStyle w:val="Hyperlink"/>
            <w:rFonts w:ascii="Arial" w:hAnsi="Arial" w:cs="Arial"/>
            <w:sz w:val="20"/>
            <w:szCs w:val="20"/>
          </w:rPr>
          <w:t>here</w:t>
        </w:r>
      </w:hyperlink>
      <w:r>
        <w:rPr>
          <w:rFonts w:ascii="Arial" w:hAnsi="Arial" w:cs="Arial"/>
          <w:sz w:val="20"/>
          <w:szCs w:val="20"/>
        </w:rPr>
        <w:t>.</w:t>
      </w:r>
    </w:p>
    <w:p w14:paraId="3C5B2A20" w14:textId="77777777" w:rsidR="005E6F14" w:rsidRPr="00550B08" w:rsidRDefault="005E6F14" w:rsidP="005E6F14">
      <w:pPr>
        <w:rPr>
          <w:rFonts w:ascii="Arial" w:hAnsi="Arial" w:cs="Arial"/>
          <w:b/>
          <w:bCs/>
        </w:rPr>
      </w:pPr>
      <w:r w:rsidRPr="00550B08">
        <w:rPr>
          <w:rFonts w:ascii="Arial" w:hAnsi="Arial" w:cs="Arial"/>
          <w:b/>
          <w:bCs/>
        </w:rPr>
        <w:t>ENDS</w:t>
      </w:r>
    </w:p>
    <w:p w14:paraId="00739472" w14:textId="77777777" w:rsidR="001557EC" w:rsidRDefault="001557EC" w:rsidP="005E6F14">
      <w:pPr>
        <w:rPr>
          <w:rFonts w:ascii="Arial" w:hAnsi="Arial" w:cs="Arial"/>
          <w:sz w:val="20"/>
          <w:szCs w:val="20"/>
        </w:rPr>
      </w:pPr>
    </w:p>
    <w:p w14:paraId="14BE6760" w14:textId="647163F7" w:rsidR="005E6F14" w:rsidRPr="001557EC" w:rsidRDefault="009627CB" w:rsidP="005E6F14">
      <w:pPr>
        <w:rPr>
          <w:rFonts w:ascii="Arial" w:hAnsi="Arial" w:cs="Arial"/>
          <w:b/>
          <w:bCs/>
          <w:sz w:val="20"/>
          <w:szCs w:val="20"/>
        </w:rPr>
      </w:pPr>
      <w:r>
        <w:rPr>
          <w:rFonts w:ascii="Arial" w:hAnsi="Arial" w:cs="Arial"/>
          <w:b/>
          <w:bCs/>
          <w:sz w:val="20"/>
          <w:szCs w:val="20"/>
        </w:rPr>
        <w:t>Menu Tracker</w:t>
      </w:r>
    </w:p>
    <w:p w14:paraId="6FC45EEE" w14:textId="77777777" w:rsidR="009627CB" w:rsidRDefault="009627CB" w:rsidP="009627CB">
      <w:pPr>
        <w:rPr>
          <w:rFonts w:ascii="Arial" w:hAnsi="Arial" w:cs="Arial"/>
          <w:sz w:val="20"/>
          <w:szCs w:val="20"/>
        </w:rPr>
      </w:pPr>
      <w:r w:rsidRPr="007464CC">
        <w:rPr>
          <w:rFonts w:ascii="Arial" w:hAnsi="Arial" w:cs="Arial"/>
          <w:sz w:val="20"/>
          <w:szCs w:val="20"/>
        </w:rPr>
        <w:t xml:space="preserve">Lumina Intelligence’s </w:t>
      </w:r>
      <w:r>
        <w:rPr>
          <w:rFonts w:ascii="Arial" w:hAnsi="Arial" w:cs="Arial"/>
          <w:sz w:val="20"/>
          <w:szCs w:val="20"/>
        </w:rPr>
        <w:t>Menu Tracker enables you to t</w:t>
      </w:r>
      <w:r w:rsidRPr="001557EC">
        <w:rPr>
          <w:rFonts w:ascii="Arial" w:hAnsi="Arial" w:cs="Arial"/>
          <w:sz w:val="20"/>
          <w:szCs w:val="20"/>
        </w:rPr>
        <w:t>rack, compare &amp; analyse the pricing &amp; menu composition of 80 major UK pub, restaurant, QSR, sandwich and coffee shop operators.</w:t>
      </w:r>
      <w:r>
        <w:rPr>
          <w:rFonts w:ascii="Arial" w:hAnsi="Arial" w:cs="Arial"/>
          <w:sz w:val="20"/>
          <w:szCs w:val="20"/>
        </w:rPr>
        <w:t xml:space="preserve"> Updated monthly, the tool allows for in depth analysis of:</w:t>
      </w:r>
    </w:p>
    <w:p w14:paraId="5B7AD622"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Brand menus</w:t>
      </w:r>
    </w:p>
    <w:p w14:paraId="1275B1FE"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Menu price inflation</w:t>
      </w:r>
    </w:p>
    <w:p w14:paraId="483A165E"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Dietary requirements</w:t>
      </w:r>
    </w:p>
    <w:p w14:paraId="7778FDB8" w14:textId="77777777" w:rsidR="009627CB" w:rsidRDefault="009627CB" w:rsidP="009627CB">
      <w:pPr>
        <w:pStyle w:val="ListParagraph"/>
        <w:numPr>
          <w:ilvl w:val="0"/>
          <w:numId w:val="11"/>
        </w:numPr>
        <w:rPr>
          <w:rFonts w:ascii="Arial" w:hAnsi="Arial" w:cs="Arial"/>
          <w:sz w:val="20"/>
          <w:szCs w:val="20"/>
        </w:rPr>
      </w:pPr>
      <w:r>
        <w:rPr>
          <w:rFonts w:ascii="Arial" w:hAnsi="Arial" w:cs="Arial"/>
          <w:sz w:val="20"/>
          <w:szCs w:val="20"/>
        </w:rPr>
        <w:t>NPD</w:t>
      </w:r>
    </w:p>
    <w:p w14:paraId="77AA796C" w14:textId="77777777" w:rsidR="009627CB" w:rsidRPr="001557EC" w:rsidRDefault="009627CB" w:rsidP="009627CB">
      <w:pPr>
        <w:pStyle w:val="ListParagraph"/>
        <w:numPr>
          <w:ilvl w:val="0"/>
          <w:numId w:val="11"/>
        </w:numPr>
        <w:rPr>
          <w:rFonts w:ascii="Arial" w:hAnsi="Arial" w:cs="Arial"/>
          <w:sz w:val="20"/>
          <w:szCs w:val="20"/>
        </w:rPr>
      </w:pPr>
      <w:r>
        <w:rPr>
          <w:rFonts w:ascii="Arial" w:hAnsi="Arial" w:cs="Arial"/>
          <w:sz w:val="20"/>
          <w:szCs w:val="20"/>
        </w:rPr>
        <w:t>Ingredients</w:t>
      </w:r>
    </w:p>
    <w:p w14:paraId="4CEA97D8" w14:textId="099E47D9" w:rsidR="00ED3ABD" w:rsidRPr="00550B08" w:rsidRDefault="00ED3ABD" w:rsidP="005F1548">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357292"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C47EF"/>
    <w:multiLevelType w:val="hybridMultilevel"/>
    <w:tmpl w:val="C736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6F3743"/>
    <w:multiLevelType w:val="hybridMultilevel"/>
    <w:tmpl w:val="2D047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6"/>
  </w:num>
  <w:num w:numId="5">
    <w:abstractNumId w:val="3"/>
  </w:num>
  <w:num w:numId="6">
    <w:abstractNumId w:val="7"/>
  </w:num>
  <w:num w:numId="7">
    <w:abstractNumId w:val="5"/>
  </w:num>
  <w:num w:numId="8">
    <w:abstractNumId w:val="1"/>
  </w:num>
  <w:num w:numId="9">
    <w:abstractNumId w:val="0"/>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36D9B"/>
    <w:rsid w:val="00050D01"/>
    <w:rsid w:val="00051983"/>
    <w:rsid w:val="00053A7D"/>
    <w:rsid w:val="00072404"/>
    <w:rsid w:val="000809E0"/>
    <w:rsid w:val="00091667"/>
    <w:rsid w:val="000F1972"/>
    <w:rsid w:val="000F2D30"/>
    <w:rsid w:val="00107E2B"/>
    <w:rsid w:val="00113451"/>
    <w:rsid w:val="00116246"/>
    <w:rsid w:val="001249C3"/>
    <w:rsid w:val="00134B6F"/>
    <w:rsid w:val="00135574"/>
    <w:rsid w:val="001557EC"/>
    <w:rsid w:val="00170061"/>
    <w:rsid w:val="00195F54"/>
    <w:rsid w:val="001A3D4E"/>
    <w:rsid w:val="001B3CF2"/>
    <w:rsid w:val="001B4688"/>
    <w:rsid w:val="001C15D9"/>
    <w:rsid w:val="001C50C1"/>
    <w:rsid w:val="001C5B98"/>
    <w:rsid w:val="001C65B6"/>
    <w:rsid w:val="001C7BF1"/>
    <w:rsid w:val="001D4D35"/>
    <w:rsid w:val="00214D95"/>
    <w:rsid w:val="00216F72"/>
    <w:rsid w:val="00240CAC"/>
    <w:rsid w:val="002536AE"/>
    <w:rsid w:val="002578EA"/>
    <w:rsid w:val="00261F91"/>
    <w:rsid w:val="00297C15"/>
    <w:rsid w:val="002A0F0F"/>
    <w:rsid w:val="002E22C9"/>
    <w:rsid w:val="002E7454"/>
    <w:rsid w:val="002F089D"/>
    <w:rsid w:val="002F0BB4"/>
    <w:rsid w:val="002F7EAF"/>
    <w:rsid w:val="00302E10"/>
    <w:rsid w:val="00312F51"/>
    <w:rsid w:val="00323BE2"/>
    <w:rsid w:val="00346F0A"/>
    <w:rsid w:val="00353262"/>
    <w:rsid w:val="00357292"/>
    <w:rsid w:val="00363346"/>
    <w:rsid w:val="003A12EB"/>
    <w:rsid w:val="003C4BB2"/>
    <w:rsid w:val="003E204B"/>
    <w:rsid w:val="003E7CE8"/>
    <w:rsid w:val="00410EFD"/>
    <w:rsid w:val="00411B85"/>
    <w:rsid w:val="00412925"/>
    <w:rsid w:val="00414095"/>
    <w:rsid w:val="0041755B"/>
    <w:rsid w:val="004310D8"/>
    <w:rsid w:val="0044412F"/>
    <w:rsid w:val="004579C4"/>
    <w:rsid w:val="00481042"/>
    <w:rsid w:val="004943E4"/>
    <w:rsid w:val="004A090C"/>
    <w:rsid w:val="004B3902"/>
    <w:rsid w:val="004C063F"/>
    <w:rsid w:val="004C2B82"/>
    <w:rsid w:val="004C5456"/>
    <w:rsid w:val="004C6C47"/>
    <w:rsid w:val="004D23F6"/>
    <w:rsid w:val="004E551E"/>
    <w:rsid w:val="004E5767"/>
    <w:rsid w:val="004F1FF8"/>
    <w:rsid w:val="0051728A"/>
    <w:rsid w:val="00520307"/>
    <w:rsid w:val="00532305"/>
    <w:rsid w:val="00540E50"/>
    <w:rsid w:val="00550B08"/>
    <w:rsid w:val="0055150D"/>
    <w:rsid w:val="005522E6"/>
    <w:rsid w:val="00553497"/>
    <w:rsid w:val="00554471"/>
    <w:rsid w:val="00566CAE"/>
    <w:rsid w:val="0059063E"/>
    <w:rsid w:val="005A2368"/>
    <w:rsid w:val="005A4855"/>
    <w:rsid w:val="005B7E51"/>
    <w:rsid w:val="005E540B"/>
    <w:rsid w:val="005E6F14"/>
    <w:rsid w:val="005F1548"/>
    <w:rsid w:val="00604B4A"/>
    <w:rsid w:val="0061620B"/>
    <w:rsid w:val="0062209E"/>
    <w:rsid w:val="00624D3B"/>
    <w:rsid w:val="0064772D"/>
    <w:rsid w:val="0065536E"/>
    <w:rsid w:val="006562DA"/>
    <w:rsid w:val="00664850"/>
    <w:rsid w:val="00690437"/>
    <w:rsid w:val="00691E88"/>
    <w:rsid w:val="006D5409"/>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71CEB"/>
    <w:rsid w:val="007854AB"/>
    <w:rsid w:val="0079412D"/>
    <w:rsid w:val="007A216E"/>
    <w:rsid w:val="007A50F0"/>
    <w:rsid w:val="007B327D"/>
    <w:rsid w:val="007C2AE1"/>
    <w:rsid w:val="007D197C"/>
    <w:rsid w:val="007F3C85"/>
    <w:rsid w:val="00813785"/>
    <w:rsid w:val="00822603"/>
    <w:rsid w:val="008249B4"/>
    <w:rsid w:val="008276B8"/>
    <w:rsid w:val="00831A17"/>
    <w:rsid w:val="00832CF9"/>
    <w:rsid w:val="008355EF"/>
    <w:rsid w:val="00843DD6"/>
    <w:rsid w:val="00846DDB"/>
    <w:rsid w:val="008542EC"/>
    <w:rsid w:val="00856858"/>
    <w:rsid w:val="00862CCB"/>
    <w:rsid w:val="00882EC4"/>
    <w:rsid w:val="008862E1"/>
    <w:rsid w:val="00887A6F"/>
    <w:rsid w:val="00897AEF"/>
    <w:rsid w:val="008A46AD"/>
    <w:rsid w:val="008C2F28"/>
    <w:rsid w:val="008D4655"/>
    <w:rsid w:val="008D5C4F"/>
    <w:rsid w:val="008E0CD4"/>
    <w:rsid w:val="008E1A01"/>
    <w:rsid w:val="008E317A"/>
    <w:rsid w:val="008E4E24"/>
    <w:rsid w:val="008E5A63"/>
    <w:rsid w:val="008E65E2"/>
    <w:rsid w:val="009400D0"/>
    <w:rsid w:val="00946C1D"/>
    <w:rsid w:val="009561EC"/>
    <w:rsid w:val="009627CB"/>
    <w:rsid w:val="00963A13"/>
    <w:rsid w:val="00970A81"/>
    <w:rsid w:val="009747BA"/>
    <w:rsid w:val="00984842"/>
    <w:rsid w:val="009A6775"/>
    <w:rsid w:val="009C3668"/>
    <w:rsid w:val="009C613A"/>
    <w:rsid w:val="009D1543"/>
    <w:rsid w:val="009F0FE3"/>
    <w:rsid w:val="00A06141"/>
    <w:rsid w:val="00A26420"/>
    <w:rsid w:val="00A46933"/>
    <w:rsid w:val="00A70FE3"/>
    <w:rsid w:val="00A82991"/>
    <w:rsid w:val="00A84B35"/>
    <w:rsid w:val="00A90A13"/>
    <w:rsid w:val="00A935A1"/>
    <w:rsid w:val="00A973D5"/>
    <w:rsid w:val="00AA4D4A"/>
    <w:rsid w:val="00AD236E"/>
    <w:rsid w:val="00AD5880"/>
    <w:rsid w:val="00AE6B2F"/>
    <w:rsid w:val="00AF18DF"/>
    <w:rsid w:val="00AF582F"/>
    <w:rsid w:val="00B02829"/>
    <w:rsid w:val="00B06987"/>
    <w:rsid w:val="00B06B5C"/>
    <w:rsid w:val="00B414CE"/>
    <w:rsid w:val="00B43838"/>
    <w:rsid w:val="00B46E6F"/>
    <w:rsid w:val="00B54F43"/>
    <w:rsid w:val="00B616DB"/>
    <w:rsid w:val="00B62989"/>
    <w:rsid w:val="00B833AA"/>
    <w:rsid w:val="00BA2478"/>
    <w:rsid w:val="00BB34D9"/>
    <w:rsid w:val="00BB4747"/>
    <w:rsid w:val="00BC785A"/>
    <w:rsid w:val="00C16ADB"/>
    <w:rsid w:val="00C176BD"/>
    <w:rsid w:val="00C270FD"/>
    <w:rsid w:val="00C30C1F"/>
    <w:rsid w:val="00C362C9"/>
    <w:rsid w:val="00C43C99"/>
    <w:rsid w:val="00C4785A"/>
    <w:rsid w:val="00C545F0"/>
    <w:rsid w:val="00C77C17"/>
    <w:rsid w:val="00C86028"/>
    <w:rsid w:val="00CA6670"/>
    <w:rsid w:val="00CD419B"/>
    <w:rsid w:val="00CE6B8A"/>
    <w:rsid w:val="00D050B7"/>
    <w:rsid w:val="00D25202"/>
    <w:rsid w:val="00D308D1"/>
    <w:rsid w:val="00D47355"/>
    <w:rsid w:val="00D70BA2"/>
    <w:rsid w:val="00D7181B"/>
    <w:rsid w:val="00DA434C"/>
    <w:rsid w:val="00DB062C"/>
    <w:rsid w:val="00DD2B3E"/>
    <w:rsid w:val="00DE3EF5"/>
    <w:rsid w:val="00DF16AF"/>
    <w:rsid w:val="00DF6CC2"/>
    <w:rsid w:val="00E14675"/>
    <w:rsid w:val="00E214AC"/>
    <w:rsid w:val="00E25B65"/>
    <w:rsid w:val="00E3222E"/>
    <w:rsid w:val="00E56A95"/>
    <w:rsid w:val="00E72427"/>
    <w:rsid w:val="00E734FF"/>
    <w:rsid w:val="00E800EF"/>
    <w:rsid w:val="00EA1B39"/>
    <w:rsid w:val="00EA61B6"/>
    <w:rsid w:val="00EB365A"/>
    <w:rsid w:val="00ED2C5E"/>
    <w:rsid w:val="00ED3ABD"/>
    <w:rsid w:val="00EE28D1"/>
    <w:rsid w:val="00EF7048"/>
    <w:rsid w:val="00F10F0C"/>
    <w:rsid w:val="00F16921"/>
    <w:rsid w:val="00F44CD2"/>
    <w:rsid w:val="00F744AB"/>
    <w:rsid w:val="00F74791"/>
    <w:rsid w:val="00F74B35"/>
    <w:rsid w:val="00F74BDC"/>
    <w:rsid w:val="00FB12B5"/>
    <w:rsid w:val="00FB2C7F"/>
    <w:rsid w:val="00FC1A9F"/>
    <w:rsid w:val="00FE11D3"/>
    <w:rsid w:val="00FE5FD3"/>
    <w:rsid w:val="00FF492C"/>
    <w:rsid w:val="44DF0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 w:type="table" w:styleId="TableGrid">
    <w:name w:val="Table Grid"/>
    <w:basedOn w:val="TableNormal"/>
    <w:uiPriority w:val="39"/>
    <w:rsid w:val="00622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menu-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2022-06-30T15:20:00Z</dcterms:created>
  <dcterms:modified xsi:type="dcterms:W3CDTF">2022-07-07T14:37:00Z</dcterms:modified>
</cp:coreProperties>
</file>