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170061"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6F41EAD" w:rsidR="00ED3ABD" w:rsidRPr="00550B08" w:rsidRDefault="005522E6"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8E65E2">
        <w:rPr>
          <w:rStyle w:val="Hyperlink"/>
          <w:rFonts w:ascii="Arial" w:hAnsi="Arial" w:cs="Arial"/>
          <w:b/>
          <w:bCs/>
          <w:color w:val="505050"/>
          <w:sz w:val="18"/>
          <w:szCs w:val="18"/>
          <w:u w:val="none"/>
        </w:rPr>
        <w:t>2 February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71134495" w:rsidR="00856858" w:rsidRPr="00856858" w:rsidRDefault="008E65E2" w:rsidP="00856858">
      <w:pPr>
        <w:jc w:val="center"/>
        <w:rPr>
          <w:rFonts w:ascii="Arial" w:hAnsi="Arial" w:cs="Arial"/>
          <w:b/>
          <w:bCs/>
          <w:sz w:val="32"/>
          <w:szCs w:val="32"/>
        </w:rPr>
      </w:pPr>
      <w:r>
        <w:rPr>
          <w:rFonts w:ascii="Arial" w:hAnsi="Arial" w:cs="Arial"/>
          <w:b/>
          <w:bCs/>
          <w:sz w:val="32"/>
          <w:szCs w:val="32"/>
        </w:rPr>
        <w:t>Shoppers stay local over Christmas, as delivery and click &amp; collect grow share</w:t>
      </w:r>
    </w:p>
    <w:p w14:paraId="57E29D10" w14:textId="1CB54F98" w:rsidR="00D70BA2" w:rsidRDefault="009400D0" w:rsidP="00A973D5">
      <w:pPr>
        <w:rPr>
          <w:rFonts w:ascii="Arial" w:hAnsi="Arial" w:cs="Arial"/>
          <w:sz w:val="20"/>
          <w:szCs w:val="20"/>
        </w:rPr>
      </w:pPr>
      <w:r w:rsidRPr="009400D0">
        <w:rPr>
          <w:rFonts w:ascii="Arial" w:hAnsi="Arial" w:cs="Arial"/>
          <w:sz w:val="20"/>
          <w:szCs w:val="20"/>
        </w:rPr>
        <w:t xml:space="preserve">According to the latest </w:t>
      </w:r>
      <w:r w:rsidR="00D70BA2">
        <w:rPr>
          <w:rFonts w:ascii="Arial" w:hAnsi="Arial" w:cs="Arial"/>
          <w:sz w:val="20"/>
          <w:szCs w:val="20"/>
        </w:rPr>
        <w:t xml:space="preserve">12-weekly </w:t>
      </w:r>
      <w:r w:rsidRPr="009400D0">
        <w:rPr>
          <w:rFonts w:ascii="Arial" w:hAnsi="Arial" w:cs="Arial"/>
          <w:sz w:val="20"/>
          <w:szCs w:val="20"/>
        </w:rPr>
        <w:t xml:space="preserve">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E6F14">
        <w:rPr>
          <w:rFonts w:ascii="Arial" w:hAnsi="Arial" w:cs="Arial"/>
          <w:sz w:val="20"/>
          <w:szCs w:val="20"/>
        </w:rPr>
        <w:t xml:space="preserve">Convenience Tracking Programme, </w:t>
      </w:r>
      <w:r w:rsidR="00DF16AF">
        <w:rPr>
          <w:rFonts w:ascii="Arial" w:hAnsi="Arial" w:cs="Arial"/>
          <w:sz w:val="20"/>
          <w:szCs w:val="20"/>
        </w:rPr>
        <w:t>delivery and click &amp; collect occasions grew, +2ppts and +0.4ppts respectively, i</w:t>
      </w:r>
      <w:r w:rsidR="00A973D5">
        <w:rPr>
          <w:rFonts w:ascii="Arial" w:hAnsi="Arial" w:cs="Arial"/>
          <w:sz w:val="20"/>
          <w:szCs w:val="20"/>
        </w:rPr>
        <w:t xml:space="preserve">n the 12 weeks ending (12WE) </w:t>
      </w:r>
      <w:r w:rsidR="00DF16AF">
        <w:rPr>
          <w:rFonts w:ascii="Arial" w:hAnsi="Arial" w:cs="Arial"/>
          <w:sz w:val="20"/>
          <w:szCs w:val="20"/>
        </w:rPr>
        <w:t>09</w:t>
      </w:r>
      <w:r w:rsidR="00A973D5">
        <w:rPr>
          <w:rFonts w:ascii="Arial" w:hAnsi="Arial" w:cs="Arial"/>
          <w:sz w:val="20"/>
          <w:szCs w:val="20"/>
        </w:rPr>
        <w:t>/0</w:t>
      </w:r>
      <w:r w:rsidR="00DF16AF">
        <w:rPr>
          <w:rFonts w:ascii="Arial" w:hAnsi="Arial" w:cs="Arial"/>
          <w:sz w:val="20"/>
          <w:szCs w:val="20"/>
        </w:rPr>
        <w:t>1</w:t>
      </w:r>
      <w:r w:rsidR="00A973D5">
        <w:rPr>
          <w:rFonts w:ascii="Arial" w:hAnsi="Arial" w:cs="Arial"/>
          <w:sz w:val="20"/>
          <w:szCs w:val="20"/>
        </w:rPr>
        <w:t>/2</w:t>
      </w:r>
      <w:r w:rsidR="00DF16AF">
        <w:rPr>
          <w:rFonts w:ascii="Arial" w:hAnsi="Arial" w:cs="Arial"/>
          <w:sz w:val="20"/>
          <w:szCs w:val="20"/>
        </w:rPr>
        <w:t>2</w:t>
      </w:r>
      <w:r w:rsidR="00A973D5">
        <w:rPr>
          <w:rFonts w:ascii="Arial" w:hAnsi="Arial" w:cs="Arial"/>
          <w:sz w:val="20"/>
          <w:szCs w:val="20"/>
        </w:rPr>
        <w:t xml:space="preserve">, </w:t>
      </w:r>
      <w:r w:rsidR="00170061">
        <w:rPr>
          <w:rFonts w:ascii="Arial" w:hAnsi="Arial" w:cs="Arial"/>
          <w:sz w:val="20"/>
          <w:szCs w:val="20"/>
        </w:rPr>
        <w:t>to 10% and 2% versus t</w:t>
      </w:r>
      <w:r w:rsidR="00DF16AF">
        <w:rPr>
          <w:rFonts w:ascii="Arial" w:hAnsi="Arial" w:cs="Arial"/>
          <w:sz w:val="20"/>
          <w:szCs w:val="20"/>
        </w:rPr>
        <w:t xml:space="preserve">he </w:t>
      </w:r>
      <w:r w:rsidR="00A973D5">
        <w:rPr>
          <w:rFonts w:ascii="Arial" w:hAnsi="Arial" w:cs="Arial"/>
          <w:sz w:val="20"/>
          <w:szCs w:val="20"/>
        </w:rPr>
        <w:t xml:space="preserve">12WE </w:t>
      </w:r>
      <w:r w:rsidR="00DF16AF">
        <w:rPr>
          <w:rFonts w:ascii="Arial" w:hAnsi="Arial" w:cs="Arial"/>
          <w:sz w:val="20"/>
          <w:szCs w:val="20"/>
        </w:rPr>
        <w:t>17</w:t>
      </w:r>
      <w:r w:rsidR="00A973D5">
        <w:rPr>
          <w:rFonts w:ascii="Arial" w:hAnsi="Arial" w:cs="Arial"/>
          <w:sz w:val="20"/>
          <w:szCs w:val="20"/>
        </w:rPr>
        <w:t>/</w:t>
      </w:r>
      <w:r w:rsidR="00DF16AF">
        <w:rPr>
          <w:rFonts w:ascii="Arial" w:hAnsi="Arial" w:cs="Arial"/>
          <w:sz w:val="20"/>
          <w:szCs w:val="20"/>
        </w:rPr>
        <w:t>10</w:t>
      </w:r>
      <w:r w:rsidR="00A973D5">
        <w:rPr>
          <w:rFonts w:ascii="Arial" w:hAnsi="Arial" w:cs="Arial"/>
          <w:sz w:val="20"/>
          <w:szCs w:val="20"/>
        </w:rPr>
        <w:t>/2021</w:t>
      </w:r>
      <w:r w:rsidR="00DF16AF">
        <w:rPr>
          <w:rFonts w:ascii="Arial" w:hAnsi="Arial" w:cs="Arial"/>
          <w:sz w:val="20"/>
          <w:szCs w:val="20"/>
        </w:rPr>
        <w:t>.</w:t>
      </w:r>
    </w:p>
    <w:p w14:paraId="2C75A7CE" w14:textId="06696378" w:rsidR="00DF16AF" w:rsidRDefault="00DF16AF" w:rsidP="00A973D5">
      <w:pPr>
        <w:rPr>
          <w:rFonts w:ascii="Arial" w:hAnsi="Arial" w:cs="Arial"/>
          <w:sz w:val="20"/>
          <w:szCs w:val="20"/>
        </w:rPr>
      </w:pPr>
      <w:r>
        <w:rPr>
          <w:rFonts w:ascii="Arial" w:hAnsi="Arial" w:cs="Arial"/>
          <w:sz w:val="20"/>
          <w:szCs w:val="20"/>
        </w:rPr>
        <w:t>Delivery accounted for one-in-ten convenience store occasions across the 12</w:t>
      </w:r>
      <w:r w:rsidR="00353262">
        <w:rPr>
          <w:rFonts w:ascii="Arial" w:hAnsi="Arial" w:cs="Arial"/>
          <w:sz w:val="20"/>
          <w:szCs w:val="20"/>
        </w:rPr>
        <w:t>-</w:t>
      </w:r>
      <w:r>
        <w:rPr>
          <w:rFonts w:ascii="Arial" w:hAnsi="Arial" w:cs="Arial"/>
          <w:sz w:val="20"/>
          <w:szCs w:val="20"/>
        </w:rPr>
        <w:t>week period, driven by risk aversion due to the rise of the Omicron variant, but also shoppers looking for more convenient solutions during the festive period, allowing them to spend more time at home.</w:t>
      </w:r>
    </w:p>
    <w:p w14:paraId="096AF852" w14:textId="0A8ADD51" w:rsidR="00DF16AF" w:rsidRDefault="00DF16AF" w:rsidP="00A973D5">
      <w:pPr>
        <w:rPr>
          <w:rFonts w:ascii="Arial" w:hAnsi="Arial" w:cs="Arial"/>
          <w:sz w:val="20"/>
          <w:szCs w:val="20"/>
        </w:rPr>
      </w:pPr>
      <w:r>
        <w:rPr>
          <w:rFonts w:ascii="Arial" w:hAnsi="Arial" w:cs="Arial"/>
          <w:sz w:val="20"/>
          <w:szCs w:val="20"/>
        </w:rPr>
        <w:t>This also drove a rise in local shopping, with shoppers staying close to home and away from town and city centres. This apparent in changes to retailer share of occasions. City centre dominant operators, Tesco Express and Sainsbury’s Local</w:t>
      </w:r>
      <w:r w:rsidR="00091667">
        <w:rPr>
          <w:rFonts w:ascii="Arial" w:hAnsi="Arial" w:cs="Arial"/>
          <w:sz w:val="20"/>
          <w:szCs w:val="20"/>
        </w:rPr>
        <w:t xml:space="preserve">, saw share occasion decline, whereas retailers predominantly located in suburban areas, such as Co-Op, Best One, Budgens and </w:t>
      </w:r>
      <w:proofErr w:type="spellStart"/>
      <w:r w:rsidR="00091667">
        <w:rPr>
          <w:rFonts w:ascii="Arial" w:hAnsi="Arial" w:cs="Arial"/>
          <w:sz w:val="20"/>
          <w:szCs w:val="20"/>
        </w:rPr>
        <w:t>Costcutter</w:t>
      </w:r>
      <w:proofErr w:type="spellEnd"/>
      <w:r w:rsidR="00091667">
        <w:rPr>
          <w:rFonts w:ascii="Arial" w:hAnsi="Arial" w:cs="Arial"/>
          <w:sz w:val="20"/>
          <w:szCs w:val="20"/>
        </w:rPr>
        <w:t xml:space="preserve"> all benefitted from a rise in footfall.</w:t>
      </w:r>
    </w:p>
    <w:p w14:paraId="4E8EE1EF" w14:textId="38EC5157" w:rsidR="00091667" w:rsidRDefault="00091667" w:rsidP="00091667">
      <w:pPr>
        <w:rPr>
          <w:rFonts w:ascii="Arial" w:hAnsi="Arial" w:cs="Arial"/>
          <w:sz w:val="20"/>
          <w:szCs w:val="20"/>
        </w:rPr>
      </w:pPr>
      <w:r>
        <w:rPr>
          <w:rFonts w:ascii="Arial" w:hAnsi="Arial" w:cs="Arial"/>
          <w:sz w:val="20"/>
          <w:szCs w:val="20"/>
        </w:rPr>
        <w:t xml:space="preserve">Despite the rollout of the vaccine and booster, we still see caution from older consumers. The rise of Omicron resulted in the return of over-65s to convenience stores. </w:t>
      </w:r>
      <w:r w:rsidRPr="00091667">
        <w:rPr>
          <w:rFonts w:ascii="Arial" w:hAnsi="Arial" w:cs="Arial"/>
          <w:sz w:val="20"/>
          <w:szCs w:val="20"/>
        </w:rPr>
        <w:t>The proportion of over</w:t>
      </w:r>
      <w:r>
        <w:rPr>
          <w:rFonts w:ascii="Arial" w:hAnsi="Arial" w:cs="Arial"/>
          <w:sz w:val="20"/>
          <w:szCs w:val="20"/>
        </w:rPr>
        <w:t xml:space="preserve"> </w:t>
      </w:r>
      <w:r w:rsidRPr="00091667">
        <w:rPr>
          <w:rFonts w:ascii="Arial" w:hAnsi="Arial" w:cs="Arial"/>
          <w:sz w:val="20"/>
          <w:szCs w:val="20"/>
        </w:rPr>
        <w:t>65</w:t>
      </w:r>
      <w:r w:rsidR="00353262">
        <w:rPr>
          <w:rFonts w:ascii="Arial" w:hAnsi="Arial" w:cs="Arial"/>
          <w:sz w:val="20"/>
          <w:szCs w:val="20"/>
        </w:rPr>
        <w:t>-</w:t>
      </w:r>
      <w:r w:rsidRPr="00091667">
        <w:rPr>
          <w:rFonts w:ascii="Arial" w:hAnsi="Arial" w:cs="Arial"/>
          <w:sz w:val="20"/>
          <w:szCs w:val="20"/>
        </w:rPr>
        <w:t>year</w:t>
      </w:r>
      <w:r w:rsidR="00353262">
        <w:rPr>
          <w:rFonts w:ascii="Arial" w:hAnsi="Arial" w:cs="Arial"/>
          <w:sz w:val="20"/>
          <w:szCs w:val="20"/>
        </w:rPr>
        <w:t>-</w:t>
      </w:r>
      <w:r w:rsidRPr="00091667">
        <w:rPr>
          <w:rFonts w:ascii="Arial" w:hAnsi="Arial" w:cs="Arial"/>
          <w:sz w:val="20"/>
          <w:szCs w:val="20"/>
        </w:rPr>
        <w:t xml:space="preserve">old shoppers that visited </w:t>
      </w:r>
      <w:r w:rsidR="00170061">
        <w:rPr>
          <w:rFonts w:ascii="Arial" w:hAnsi="Arial" w:cs="Arial"/>
          <w:sz w:val="20"/>
          <w:szCs w:val="20"/>
        </w:rPr>
        <w:t>c-</w:t>
      </w:r>
      <w:r w:rsidRPr="00091667">
        <w:rPr>
          <w:rFonts w:ascii="Arial" w:hAnsi="Arial" w:cs="Arial"/>
          <w:sz w:val="20"/>
          <w:szCs w:val="20"/>
        </w:rPr>
        <w:t>stores increased by +6ppts compared to the previous 12</w:t>
      </w:r>
      <w:r>
        <w:rPr>
          <w:rFonts w:ascii="Arial" w:hAnsi="Arial" w:cs="Arial"/>
          <w:sz w:val="20"/>
          <w:szCs w:val="20"/>
        </w:rPr>
        <w:t xml:space="preserve"> </w:t>
      </w:r>
      <w:r w:rsidRPr="00091667">
        <w:rPr>
          <w:rFonts w:ascii="Arial" w:hAnsi="Arial" w:cs="Arial"/>
          <w:sz w:val="20"/>
          <w:szCs w:val="20"/>
        </w:rPr>
        <w:t>weeks</w:t>
      </w:r>
      <w:r w:rsidR="00170061">
        <w:rPr>
          <w:rFonts w:ascii="Arial" w:hAnsi="Arial" w:cs="Arial"/>
          <w:sz w:val="20"/>
          <w:szCs w:val="20"/>
        </w:rPr>
        <w:t>, with shoppers looking to avoid crowded supermarkets</w:t>
      </w:r>
      <w:r w:rsidRPr="00091667">
        <w:rPr>
          <w:rFonts w:ascii="Arial" w:hAnsi="Arial" w:cs="Arial"/>
          <w:sz w:val="20"/>
          <w:szCs w:val="20"/>
        </w:rPr>
        <w:t>.</w:t>
      </w:r>
    </w:p>
    <w:p w14:paraId="4A1A1891" w14:textId="4AA3DC28" w:rsidR="00091667" w:rsidRDefault="00091667" w:rsidP="00091667">
      <w:pPr>
        <w:rPr>
          <w:rFonts w:ascii="Arial" w:hAnsi="Arial" w:cs="Arial"/>
          <w:sz w:val="20"/>
          <w:szCs w:val="20"/>
        </w:rPr>
      </w:pPr>
      <w:r w:rsidRPr="00091667">
        <w:rPr>
          <w:rFonts w:ascii="Arial" w:hAnsi="Arial" w:cs="Arial"/>
          <w:sz w:val="20"/>
          <w:szCs w:val="20"/>
        </w:rPr>
        <w:t>Newsagent missions increased by a further +1ppt, after growing +2ppts in the previous 12 weeks.</w:t>
      </w:r>
      <w:r>
        <w:rPr>
          <w:rFonts w:ascii="Arial" w:hAnsi="Arial" w:cs="Arial"/>
          <w:sz w:val="20"/>
          <w:szCs w:val="20"/>
        </w:rPr>
        <w:t xml:space="preserve"> </w:t>
      </w:r>
      <w:r w:rsidRPr="00091667">
        <w:rPr>
          <w:rFonts w:ascii="Arial" w:hAnsi="Arial" w:cs="Arial"/>
          <w:sz w:val="20"/>
          <w:szCs w:val="20"/>
        </w:rPr>
        <w:t>Food to go missions</w:t>
      </w:r>
      <w:r>
        <w:rPr>
          <w:rFonts w:ascii="Arial" w:hAnsi="Arial" w:cs="Arial"/>
          <w:sz w:val="20"/>
          <w:szCs w:val="20"/>
        </w:rPr>
        <w:t xml:space="preserve"> </w:t>
      </w:r>
      <w:r w:rsidRPr="00091667">
        <w:rPr>
          <w:rFonts w:ascii="Arial" w:hAnsi="Arial" w:cs="Arial"/>
          <w:sz w:val="20"/>
          <w:szCs w:val="20"/>
        </w:rPr>
        <w:t>decreased by 1ppts as consumers were less likely to be out and about due to the Omicron variant. Lumina Intelligence expects</w:t>
      </w:r>
      <w:r>
        <w:rPr>
          <w:rFonts w:ascii="Arial" w:hAnsi="Arial" w:cs="Arial"/>
          <w:sz w:val="20"/>
          <w:szCs w:val="20"/>
        </w:rPr>
        <w:t xml:space="preserve"> </w:t>
      </w:r>
      <w:r w:rsidRPr="00091667">
        <w:rPr>
          <w:rFonts w:ascii="Arial" w:hAnsi="Arial" w:cs="Arial"/>
          <w:sz w:val="20"/>
          <w:szCs w:val="20"/>
        </w:rPr>
        <w:t>FTG to increase over the next quarter as more consumers return to offices.</w:t>
      </w:r>
    </w:p>
    <w:p w14:paraId="72675AED" w14:textId="39E5D92A" w:rsidR="00091667" w:rsidRDefault="00E14675" w:rsidP="00E14675">
      <w:pPr>
        <w:rPr>
          <w:rFonts w:ascii="Arial" w:hAnsi="Arial" w:cs="Arial"/>
          <w:sz w:val="20"/>
          <w:szCs w:val="20"/>
        </w:rPr>
      </w:pPr>
      <w:r w:rsidRPr="00E14675">
        <w:rPr>
          <w:rFonts w:ascii="Arial" w:hAnsi="Arial" w:cs="Arial"/>
          <w:sz w:val="20"/>
          <w:szCs w:val="20"/>
        </w:rPr>
        <w:t>PMP purchasing increased by +2ppts (to 50%) in last 12 weeks.</w:t>
      </w:r>
      <w:r>
        <w:rPr>
          <w:rFonts w:ascii="Arial" w:hAnsi="Arial" w:cs="Arial"/>
          <w:sz w:val="20"/>
          <w:szCs w:val="20"/>
        </w:rPr>
        <w:t xml:space="preserve"> </w:t>
      </w:r>
      <w:r w:rsidRPr="00E14675">
        <w:rPr>
          <w:rFonts w:ascii="Arial" w:hAnsi="Arial" w:cs="Arial"/>
          <w:sz w:val="20"/>
          <w:szCs w:val="20"/>
        </w:rPr>
        <w:t>Chilled Foods (including Milk), Bakery and chilled products</w:t>
      </w:r>
      <w:r>
        <w:rPr>
          <w:rFonts w:ascii="Arial" w:hAnsi="Arial" w:cs="Arial"/>
          <w:sz w:val="20"/>
          <w:szCs w:val="20"/>
        </w:rPr>
        <w:t xml:space="preserve"> </w:t>
      </w:r>
      <w:r w:rsidRPr="00E14675">
        <w:rPr>
          <w:rFonts w:ascii="Arial" w:hAnsi="Arial" w:cs="Arial"/>
          <w:sz w:val="20"/>
          <w:szCs w:val="20"/>
        </w:rPr>
        <w:t>each saw a +1ppt increase in PMP purchases</w:t>
      </w:r>
      <w:r w:rsidR="0059063E">
        <w:rPr>
          <w:rFonts w:ascii="Arial" w:hAnsi="Arial" w:cs="Arial"/>
          <w:sz w:val="20"/>
          <w:szCs w:val="20"/>
        </w:rPr>
        <w:t xml:space="preserve">. </w:t>
      </w:r>
    </w:p>
    <w:p w14:paraId="26AEB232" w14:textId="6AAAC4E1" w:rsidR="0059063E" w:rsidRDefault="009400D0" w:rsidP="009400D0">
      <w:pPr>
        <w:rPr>
          <w:rFonts w:ascii="Arial" w:hAnsi="Arial" w:cs="Arial"/>
          <w:i/>
          <w:iCs/>
          <w:sz w:val="20"/>
          <w:szCs w:val="20"/>
        </w:rPr>
      </w:pPr>
      <w:r w:rsidRPr="009400D0">
        <w:rPr>
          <w:rFonts w:ascii="Arial" w:hAnsi="Arial" w:cs="Arial"/>
          <w:sz w:val="20"/>
          <w:szCs w:val="20"/>
        </w:rPr>
        <w:t xml:space="preserve">Commenting on the </w:t>
      </w:r>
      <w:r w:rsidR="00F74791">
        <w:rPr>
          <w:rFonts w:ascii="Arial" w:hAnsi="Arial" w:cs="Arial"/>
          <w:sz w:val="20"/>
          <w:szCs w:val="20"/>
        </w:rPr>
        <w:t>findings</w:t>
      </w:r>
      <w:r w:rsidRPr="009400D0">
        <w:rPr>
          <w:rFonts w:ascii="Arial" w:hAnsi="Arial" w:cs="Arial"/>
          <w:sz w:val="20"/>
          <w:szCs w:val="20"/>
        </w:rPr>
        <w:t xml:space="preserve">, </w:t>
      </w:r>
      <w:r w:rsidR="00DF6CC2">
        <w:rPr>
          <w:rFonts w:ascii="Arial" w:hAnsi="Arial" w:cs="Arial"/>
          <w:sz w:val="20"/>
          <w:szCs w:val="20"/>
        </w:rPr>
        <w:t xml:space="preserve">Senior </w:t>
      </w:r>
      <w:r w:rsidRPr="009400D0">
        <w:rPr>
          <w:rFonts w:ascii="Arial" w:hAnsi="Arial" w:cs="Arial"/>
          <w:sz w:val="20"/>
          <w:szCs w:val="20"/>
        </w:rPr>
        <w:t xml:space="preserve">Insight </w:t>
      </w:r>
      <w:r w:rsidR="00DF6CC2">
        <w:rPr>
          <w:rFonts w:ascii="Arial" w:hAnsi="Arial" w:cs="Arial"/>
          <w:sz w:val="20"/>
          <w:szCs w:val="20"/>
        </w:rPr>
        <w:t>Manager</w:t>
      </w:r>
      <w:r w:rsidRPr="009400D0">
        <w:rPr>
          <w:rFonts w:ascii="Arial" w:hAnsi="Arial" w:cs="Arial"/>
          <w:sz w:val="20"/>
          <w:szCs w:val="20"/>
        </w:rPr>
        <w:t xml:space="preserve"> at Lumina Intelligence, </w:t>
      </w:r>
      <w:r w:rsidR="00DF6CC2">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59063E">
        <w:rPr>
          <w:rFonts w:ascii="Arial" w:hAnsi="Arial" w:cs="Arial"/>
          <w:i/>
          <w:iCs/>
          <w:sz w:val="20"/>
          <w:szCs w:val="20"/>
        </w:rPr>
        <w:t xml:space="preserve">Omicron caused a significant amount of uncertainty and a shift to local shopping, with suburban convenience stores seeing the benefit of increased footfall. Once again, we see the opportunity that delivery can offer convenience stores – accounting for one-in-ten convenience occasions. Whilst </w:t>
      </w:r>
      <w:proofErr w:type="spellStart"/>
      <w:r w:rsidR="0059063E">
        <w:rPr>
          <w:rFonts w:ascii="Arial" w:hAnsi="Arial" w:cs="Arial"/>
          <w:i/>
          <w:iCs/>
          <w:sz w:val="20"/>
          <w:szCs w:val="20"/>
        </w:rPr>
        <w:t>covid</w:t>
      </w:r>
      <w:proofErr w:type="spellEnd"/>
      <w:r w:rsidR="0059063E">
        <w:rPr>
          <w:rFonts w:ascii="Arial" w:hAnsi="Arial" w:cs="Arial"/>
          <w:i/>
          <w:iCs/>
          <w:sz w:val="20"/>
          <w:szCs w:val="20"/>
        </w:rPr>
        <w:t xml:space="preserve"> cases will have played a role, we still expect delivery to be a key growth driver for the future.”</w:t>
      </w:r>
    </w:p>
    <w:p w14:paraId="344FDF81" w14:textId="428D3398" w:rsidR="0059063E" w:rsidRDefault="0059063E" w:rsidP="009400D0">
      <w:pPr>
        <w:rPr>
          <w:rFonts w:ascii="Arial" w:hAnsi="Arial" w:cs="Arial"/>
          <w:i/>
          <w:iCs/>
          <w:sz w:val="20"/>
          <w:szCs w:val="20"/>
        </w:rPr>
      </w:pPr>
      <w:r>
        <w:rPr>
          <w:rFonts w:ascii="Arial" w:hAnsi="Arial" w:cs="Arial"/>
          <w:i/>
          <w:iCs/>
          <w:sz w:val="20"/>
          <w:szCs w:val="20"/>
        </w:rPr>
        <w:t>“The last three months of 2021 truly showed, once again, the importance of convenience stores to the UK economy and local communities.”</w:t>
      </w:r>
    </w:p>
    <w:p w14:paraId="621435A7" w14:textId="77777777"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106BDB07" w14:textId="77777777" w:rsidR="005E6F14" w:rsidRPr="00550B08" w:rsidRDefault="005E6F14" w:rsidP="005E6F14">
      <w:pPr>
        <w:rPr>
          <w:rFonts w:ascii="Arial" w:hAnsi="Arial" w:cs="Arial"/>
          <w:sz w:val="20"/>
          <w:szCs w:val="20"/>
        </w:rPr>
      </w:pPr>
    </w:p>
    <w:p w14:paraId="14BE6760" w14:textId="77777777" w:rsidR="005E6F14" w:rsidRPr="00550B08" w:rsidRDefault="005E6F14" w:rsidP="005E6F14">
      <w:pPr>
        <w:rPr>
          <w:rFonts w:ascii="Arial" w:hAnsi="Arial" w:cs="Arial"/>
          <w:b/>
          <w:bCs/>
          <w:sz w:val="20"/>
          <w:szCs w:val="20"/>
        </w:rPr>
      </w:pPr>
      <w:r>
        <w:rPr>
          <w:rFonts w:ascii="Arial" w:hAnsi="Arial" w:cs="Arial"/>
          <w:b/>
          <w:bCs/>
          <w:sz w:val="20"/>
          <w:szCs w:val="20"/>
        </w:rPr>
        <w:t>Convenience Tracking Programme</w:t>
      </w:r>
    </w:p>
    <w:p w14:paraId="67907A75" w14:textId="73C8E3AF" w:rsidR="005E6F14" w:rsidRPr="00DC7554" w:rsidRDefault="005E6F14" w:rsidP="005E6F14">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retail </w:t>
      </w:r>
      <w:r w:rsidRPr="007464CC">
        <w:rPr>
          <w:rFonts w:ascii="Arial" w:hAnsi="Arial" w:cs="Arial"/>
          <w:sz w:val="20"/>
          <w:szCs w:val="20"/>
        </w:rPr>
        <w:t>market, supporting suppliers and retailers with data, forecasting, retailer analysis and path to purchase insight.</w:t>
      </w:r>
      <w:r>
        <w:rPr>
          <w:rFonts w:ascii="Arial" w:hAnsi="Arial" w:cs="Arial"/>
          <w:sz w:val="20"/>
          <w:szCs w:val="20"/>
        </w:rPr>
        <w:t xml:space="preserve"> </w:t>
      </w:r>
      <w:r w:rsidRPr="00DC7554">
        <w:rPr>
          <w:rFonts w:ascii="Arial" w:hAnsi="Arial" w:cs="Arial"/>
          <w:sz w:val="20"/>
          <w:szCs w:val="20"/>
        </w:rPr>
        <w:t>Built from analysis of over 50,000</w:t>
      </w:r>
      <w:r>
        <w:rPr>
          <w:rFonts w:ascii="Arial" w:hAnsi="Arial" w:cs="Arial"/>
          <w:sz w:val="20"/>
          <w:szCs w:val="20"/>
        </w:rPr>
        <w:t xml:space="preserve"> </w:t>
      </w:r>
      <w:r w:rsidRPr="00DC7554">
        <w:rPr>
          <w:rFonts w:ascii="Arial" w:hAnsi="Arial" w:cs="Arial"/>
          <w:sz w:val="20"/>
          <w:szCs w:val="20"/>
        </w:rPr>
        <w:t>shopping trips per year,</w:t>
      </w:r>
      <w:r>
        <w:rPr>
          <w:rFonts w:ascii="Arial" w:hAnsi="Arial" w:cs="Arial"/>
          <w:sz w:val="20"/>
          <w:szCs w:val="20"/>
        </w:rPr>
        <w:t xml:space="preserve"> </w:t>
      </w:r>
      <w:r w:rsidRPr="00DC7554">
        <w:rPr>
          <w:rFonts w:ascii="Arial" w:hAnsi="Arial" w:cs="Arial"/>
          <w:sz w:val="20"/>
          <w:szCs w:val="20"/>
        </w:rPr>
        <w:t>C</w:t>
      </w:r>
      <w:r>
        <w:rPr>
          <w:rFonts w:ascii="Arial" w:hAnsi="Arial" w:cs="Arial"/>
          <w:sz w:val="20"/>
          <w:szCs w:val="20"/>
        </w:rPr>
        <w:t xml:space="preserve">TP </w:t>
      </w:r>
      <w:r w:rsidRPr="00DC7554">
        <w:rPr>
          <w:rFonts w:ascii="Arial" w:hAnsi="Arial" w:cs="Arial"/>
          <w:sz w:val="20"/>
          <w:szCs w:val="20"/>
        </w:rPr>
        <w:t>is the largest convenience shopper</w:t>
      </w:r>
      <w:r>
        <w:rPr>
          <w:rFonts w:ascii="Arial" w:hAnsi="Arial" w:cs="Arial"/>
          <w:sz w:val="20"/>
          <w:szCs w:val="20"/>
        </w:rPr>
        <w:t xml:space="preserve"> </w:t>
      </w:r>
      <w:r w:rsidRPr="00DC7554">
        <w:rPr>
          <w:rFonts w:ascii="Arial" w:hAnsi="Arial" w:cs="Arial"/>
          <w:sz w:val="20"/>
          <w:szCs w:val="20"/>
        </w:rPr>
        <w:t xml:space="preserve">survey in the UK. </w:t>
      </w:r>
    </w:p>
    <w:p w14:paraId="2CB6B744" w14:textId="77777777" w:rsidR="005E6F14" w:rsidRDefault="005E6F14" w:rsidP="005E6F14">
      <w:pPr>
        <w:rPr>
          <w:rFonts w:ascii="Arial" w:hAnsi="Arial" w:cs="Arial"/>
          <w:sz w:val="20"/>
          <w:szCs w:val="20"/>
        </w:rPr>
      </w:pPr>
      <w:r>
        <w:rPr>
          <w:rFonts w:ascii="Arial" w:hAnsi="Arial" w:cs="Arial"/>
          <w:sz w:val="20"/>
          <w:szCs w:val="20"/>
        </w:rPr>
        <w:t>The methodology for this specific content is:</w:t>
      </w:r>
    </w:p>
    <w:p w14:paraId="78A18098" w14:textId="53005CE4"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 xml:space="preserve">Data collected in the </w:t>
      </w:r>
      <w:r w:rsidR="00481042">
        <w:rPr>
          <w:rFonts w:ascii="Arial" w:hAnsi="Arial" w:cs="Arial"/>
          <w:sz w:val="20"/>
          <w:szCs w:val="20"/>
        </w:rPr>
        <w:t>12</w:t>
      </w:r>
      <w:r w:rsidRPr="007464CC">
        <w:rPr>
          <w:rFonts w:ascii="Arial" w:hAnsi="Arial" w:cs="Arial"/>
          <w:sz w:val="20"/>
          <w:szCs w:val="20"/>
        </w:rPr>
        <w:t xml:space="preserve"> weeks ending </w:t>
      </w:r>
      <w:r w:rsidR="0059063E">
        <w:rPr>
          <w:rFonts w:ascii="Arial" w:hAnsi="Arial" w:cs="Arial"/>
          <w:sz w:val="20"/>
          <w:szCs w:val="20"/>
        </w:rPr>
        <w:t>09.01.22</w:t>
      </w:r>
    </w:p>
    <w:p w14:paraId="66CF3FB4" w14:textId="77777777" w:rsidR="005E6F14" w:rsidRPr="007464CC"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1,500 nationally representative sample per week</w:t>
      </w:r>
    </w:p>
    <w:p w14:paraId="37CBB93A" w14:textId="77777777" w:rsidR="005E6F14" w:rsidRDefault="005E6F14" w:rsidP="005E6F14">
      <w:pPr>
        <w:pStyle w:val="ListParagraph"/>
        <w:numPr>
          <w:ilvl w:val="0"/>
          <w:numId w:val="10"/>
        </w:numPr>
        <w:rPr>
          <w:rFonts w:ascii="Arial" w:hAnsi="Arial" w:cs="Arial"/>
          <w:sz w:val="20"/>
          <w:szCs w:val="20"/>
        </w:rPr>
      </w:pPr>
      <w:r w:rsidRPr="007464CC">
        <w:rPr>
          <w:rFonts w:ascii="Arial" w:hAnsi="Arial" w:cs="Arial"/>
          <w:sz w:val="20"/>
          <w:szCs w:val="20"/>
        </w:rPr>
        <w:t>In depth online interviews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170061"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72404"/>
    <w:rsid w:val="000809E0"/>
    <w:rsid w:val="00091667"/>
    <w:rsid w:val="000F1972"/>
    <w:rsid w:val="00107E2B"/>
    <w:rsid w:val="00113451"/>
    <w:rsid w:val="00116246"/>
    <w:rsid w:val="001249C3"/>
    <w:rsid w:val="00134B6F"/>
    <w:rsid w:val="00135574"/>
    <w:rsid w:val="00170061"/>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3BE2"/>
    <w:rsid w:val="00346F0A"/>
    <w:rsid w:val="00353262"/>
    <w:rsid w:val="00363346"/>
    <w:rsid w:val="003A12EB"/>
    <w:rsid w:val="003C4BB2"/>
    <w:rsid w:val="003E204B"/>
    <w:rsid w:val="00414095"/>
    <w:rsid w:val="0041755B"/>
    <w:rsid w:val="0044412F"/>
    <w:rsid w:val="00481042"/>
    <w:rsid w:val="004B3902"/>
    <w:rsid w:val="004C063F"/>
    <w:rsid w:val="004C5456"/>
    <w:rsid w:val="004D23F6"/>
    <w:rsid w:val="004E551E"/>
    <w:rsid w:val="004F1FF8"/>
    <w:rsid w:val="00520307"/>
    <w:rsid w:val="00550B08"/>
    <w:rsid w:val="0055150D"/>
    <w:rsid w:val="005522E6"/>
    <w:rsid w:val="00553497"/>
    <w:rsid w:val="00566CAE"/>
    <w:rsid w:val="0059063E"/>
    <w:rsid w:val="005A2368"/>
    <w:rsid w:val="005A4855"/>
    <w:rsid w:val="005B7E51"/>
    <w:rsid w:val="005E6F14"/>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A50F0"/>
    <w:rsid w:val="007C2AE1"/>
    <w:rsid w:val="007D197C"/>
    <w:rsid w:val="007F3C85"/>
    <w:rsid w:val="00813785"/>
    <w:rsid w:val="008249B4"/>
    <w:rsid w:val="008276B8"/>
    <w:rsid w:val="00831A17"/>
    <w:rsid w:val="00832CF9"/>
    <w:rsid w:val="00846DDB"/>
    <w:rsid w:val="008542EC"/>
    <w:rsid w:val="00856858"/>
    <w:rsid w:val="00862CCB"/>
    <w:rsid w:val="00882EC4"/>
    <w:rsid w:val="00897AEF"/>
    <w:rsid w:val="008A46AD"/>
    <w:rsid w:val="008C2F28"/>
    <w:rsid w:val="008D4655"/>
    <w:rsid w:val="008D5C4F"/>
    <w:rsid w:val="008E1A01"/>
    <w:rsid w:val="008E317A"/>
    <w:rsid w:val="008E5A63"/>
    <w:rsid w:val="008E65E2"/>
    <w:rsid w:val="009400D0"/>
    <w:rsid w:val="00963A13"/>
    <w:rsid w:val="00970A81"/>
    <w:rsid w:val="00984842"/>
    <w:rsid w:val="009A6775"/>
    <w:rsid w:val="009C3668"/>
    <w:rsid w:val="009C613A"/>
    <w:rsid w:val="009D1543"/>
    <w:rsid w:val="00A26420"/>
    <w:rsid w:val="00A70FE3"/>
    <w:rsid w:val="00A82991"/>
    <w:rsid w:val="00A90A13"/>
    <w:rsid w:val="00A935A1"/>
    <w:rsid w:val="00A973D5"/>
    <w:rsid w:val="00AA4D4A"/>
    <w:rsid w:val="00AD236E"/>
    <w:rsid w:val="00AD5880"/>
    <w:rsid w:val="00AE6B2F"/>
    <w:rsid w:val="00B06987"/>
    <w:rsid w:val="00B06B5C"/>
    <w:rsid w:val="00B414CE"/>
    <w:rsid w:val="00B43838"/>
    <w:rsid w:val="00B46E6F"/>
    <w:rsid w:val="00B54F43"/>
    <w:rsid w:val="00B616DB"/>
    <w:rsid w:val="00B833AA"/>
    <w:rsid w:val="00BA2478"/>
    <w:rsid w:val="00BB34D9"/>
    <w:rsid w:val="00BB4747"/>
    <w:rsid w:val="00BC785A"/>
    <w:rsid w:val="00C16ADB"/>
    <w:rsid w:val="00C176BD"/>
    <w:rsid w:val="00C270FD"/>
    <w:rsid w:val="00C30C1F"/>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F16AF"/>
    <w:rsid w:val="00DF6CC2"/>
    <w:rsid w:val="00E14675"/>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744AB"/>
    <w:rsid w:val="00F74791"/>
    <w:rsid w:val="00F74BDC"/>
    <w:rsid w:val="00FB2C7F"/>
    <w:rsid w:val="00FC1A9F"/>
    <w:rsid w:val="00FE11D3"/>
    <w:rsid w:val="00FE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2022-02-02T09:07:00Z</dcterms:created>
  <dcterms:modified xsi:type="dcterms:W3CDTF">2022-02-02T09:07:00Z</dcterms:modified>
</cp:coreProperties>
</file>