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204206DC" w:rsidR="00ED3ABD" w:rsidRDefault="009F2AD9" w:rsidP="00ED3ABD">
      <w:pPr>
        <w:spacing w:after="0" w:line="240" w:lineRule="auto"/>
        <w:rPr>
          <w:rStyle w:val="Hyperlink"/>
          <w:rFonts w:ascii="Arial" w:hAnsi="Arial" w:cs="Arial"/>
          <w:b/>
          <w:bCs/>
          <w:color w:val="505050"/>
          <w:sz w:val="18"/>
          <w:szCs w:val="18"/>
        </w:rPr>
      </w:pPr>
      <w:hyperlink r:id="rId6" w:history="1">
        <w:r w:rsidR="004D2874" w:rsidRPr="00937FE0">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49D9587" w:rsidR="00ED3ABD" w:rsidRPr="00550B08" w:rsidRDefault="003D61E1"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 xml:space="preserve">03 </w:t>
      </w:r>
      <w:r w:rsidR="0015049C">
        <w:rPr>
          <w:rStyle w:val="Hyperlink"/>
          <w:rFonts w:ascii="Arial" w:hAnsi="Arial" w:cs="Arial"/>
          <w:b/>
          <w:bCs/>
          <w:color w:val="505050"/>
          <w:sz w:val="18"/>
          <w:szCs w:val="18"/>
          <w:u w:val="none"/>
        </w:rPr>
        <w:t>February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15049C">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23E3F110" w:rsidR="00856858" w:rsidRPr="00856858" w:rsidRDefault="0015049C" w:rsidP="007B62B3">
      <w:pPr>
        <w:jc w:val="center"/>
        <w:rPr>
          <w:rFonts w:ascii="Arial" w:hAnsi="Arial" w:cs="Arial"/>
          <w:b/>
          <w:bCs/>
          <w:sz w:val="32"/>
          <w:szCs w:val="32"/>
        </w:rPr>
      </w:pPr>
      <w:r>
        <w:rPr>
          <w:rFonts w:ascii="Arial" w:hAnsi="Arial" w:cs="Arial"/>
          <w:b/>
          <w:bCs/>
          <w:sz w:val="32"/>
          <w:szCs w:val="32"/>
        </w:rPr>
        <w:t>Top 10 UK casual dining brands set to grow outlets by +1.1% in 2022</w:t>
      </w:r>
    </w:p>
    <w:p w14:paraId="32FEC510" w14:textId="0C767CD2" w:rsidR="00142DE3" w:rsidRDefault="009400D0" w:rsidP="00142DE3">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 xml:space="preserve">Operator Data Index, </w:t>
      </w:r>
      <w:r w:rsidR="007B62B3">
        <w:rPr>
          <w:rFonts w:ascii="Arial" w:hAnsi="Arial" w:cs="Arial"/>
          <w:sz w:val="20"/>
          <w:szCs w:val="20"/>
        </w:rPr>
        <w:t xml:space="preserve">the </w:t>
      </w:r>
      <w:r w:rsidR="00142DE3" w:rsidRPr="00142DE3">
        <w:rPr>
          <w:rFonts w:ascii="Arial" w:hAnsi="Arial" w:cs="Arial"/>
          <w:sz w:val="20"/>
          <w:szCs w:val="20"/>
        </w:rPr>
        <w:t xml:space="preserve">top </w:t>
      </w:r>
      <w:r w:rsidR="0015049C">
        <w:rPr>
          <w:rFonts w:ascii="Arial" w:hAnsi="Arial" w:cs="Arial"/>
          <w:sz w:val="20"/>
          <w:szCs w:val="20"/>
        </w:rPr>
        <w:t>10</w:t>
      </w:r>
      <w:r w:rsidR="00142DE3">
        <w:rPr>
          <w:rFonts w:ascii="Arial" w:hAnsi="Arial" w:cs="Arial"/>
          <w:sz w:val="20"/>
          <w:szCs w:val="20"/>
        </w:rPr>
        <w:t xml:space="preserve"> UK</w:t>
      </w:r>
      <w:r w:rsidR="00142DE3" w:rsidRPr="00142DE3">
        <w:rPr>
          <w:rFonts w:ascii="Arial" w:hAnsi="Arial" w:cs="Arial"/>
          <w:sz w:val="20"/>
          <w:szCs w:val="20"/>
        </w:rPr>
        <w:t xml:space="preserve"> </w:t>
      </w:r>
      <w:r w:rsidR="0015049C">
        <w:rPr>
          <w:rFonts w:ascii="Arial" w:hAnsi="Arial" w:cs="Arial"/>
          <w:sz w:val="20"/>
          <w:szCs w:val="20"/>
        </w:rPr>
        <w:t>casual dining brands are forecast to grow its combined outlet count by +1.1% to 5</w:t>
      </w:r>
      <w:r w:rsidR="00B96253">
        <w:rPr>
          <w:rFonts w:ascii="Arial" w:hAnsi="Arial" w:cs="Arial"/>
          <w:sz w:val="20"/>
          <w:szCs w:val="20"/>
        </w:rPr>
        <w:t>,</w:t>
      </w:r>
      <w:r w:rsidR="0015049C">
        <w:rPr>
          <w:rFonts w:ascii="Arial" w:hAnsi="Arial" w:cs="Arial"/>
          <w:sz w:val="20"/>
          <w:szCs w:val="20"/>
        </w:rPr>
        <w:t>566</w:t>
      </w:r>
      <w:r w:rsidR="00142DE3" w:rsidRPr="00142DE3">
        <w:rPr>
          <w:rFonts w:ascii="Arial" w:hAnsi="Arial" w:cs="Arial"/>
          <w:sz w:val="20"/>
          <w:szCs w:val="20"/>
        </w:rPr>
        <w:t>.</w:t>
      </w:r>
    </w:p>
    <w:p w14:paraId="000FF5E7" w14:textId="76CA7E3D" w:rsidR="0015049C" w:rsidRDefault="0015049C" w:rsidP="0015049C">
      <w:pPr>
        <w:rPr>
          <w:rFonts w:ascii="Arial" w:hAnsi="Arial" w:cs="Arial"/>
          <w:sz w:val="20"/>
          <w:szCs w:val="20"/>
        </w:rPr>
      </w:pPr>
      <w:r>
        <w:rPr>
          <w:rFonts w:ascii="Arial" w:hAnsi="Arial" w:cs="Arial"/>
          <w:sz w:val="20"/>
          <w:szCs w:val="20"/>
        </w:rPr>
        <w:t>This growth is set to be driven by Pret A Manger (+7.5%), Nando’s (+4.0%) and KFC (+2.1%). In contrast, Pizza Hut Restaurants</w:t>
      </w:r>
      <w:r w:rsidR="009F2AD9">
        <w:rPr>
          <w:rFonts w:ascii="Arial" w:hAnsi="Arial" w:cs="Arial"/>
          <w:sz w:val="20"/>
          <w:szCs w:val="20"/>
        </w:rPr>
        <w:t xml:space="preserve"> and </w:t>
      </w:r>
      <w:r>
        <w:rPr>
          <w:rFonts w:ascii="Arial" w:hAnsi="Arial" w:cs="Arial"/>
          <w:sz w:val="20"/>
          <w:szCs w:val="20"/>
        </w:rPr>
        <w:t>Sizzling Pubs are expected to reduce the size of their estates. Th</w:t>
      </w:r>
      <w:r w:rsidR="00B96253">
        <w:rPr>
          <w:rFonts w:ascii="Arial" w:hAnsi="Arial" w:cs="Arial"/>
          <w:sz w:val="20"/>
          <w:szCs w:val="20"/>
        </w:rPr>
        <w:t>e</w:t>
      </w:r>
      <w:r>
        <w:rPr>
          <w:rFonts w:ascii="Arial" w:hAnsi="Arial" w:cs="Arial"/>
          <w:sz w:val="20"/>
          <w:szCs w:val="20"/>
        </w:rPr>
        <w:t xml:space="preserve"> growth forecast for Pret follows an </w:t>
      </w:r>
      <w:r w:rsidRPr="0015049C">
        <w:rPr>
          <w:rFonts w:ascii="Arial" w:hAnsi="Arial" w:cs="Arial"/>
          <w:sz w:val="20"/>
          <w:szCs w:val="20"/>
        </w:rPr>
        <w:t>ambitious</w:t>
      </w:r>
      <w:r>
        <w:rPr>
          <w:rFonts w:ascii="Arial" w:hAnsi="Arial" w:cs="Arial"/>
          <w:sz w:val="20"/>
          <w:szCs w:val="20"/>
        </w:rPr>
        <w:t xml:space="preserve"> </w:t>
      </w:r>
      <w:r w:rsidRPr="0015049C">
        <w:rPr>
          <w:rFonts w:ascii="Arial" w:hAnsi="Arial" w:cs="Arial"/>
          <w:sz w:val="20"/>
          <w:szCs w:val="20"/>
        </w:rPr>
        <w:t>expansion strategy that will target</w:t>
      </w:r>
      <w:r>
        <w:rPr>
          <w:rFonts w:ascii="Arial" w:hAnsi="Arial" w:cs="Arial"/>
          <w:sz w:val="20"/>
          <w:szCs w:val="20"/>
        </w:rPr>
        <w:t xml:space="preserve"> </w:t>
      </w:r>
      <w:r w:rsidRPr="0015049C">
        <w:rPr>
          <w:rFonts w:ascii="Arial" w:hAnsi="Arial" w:cs="Arial"/>
          <w:sz w:val="20"/>
          <w:szCs w:val="20"/>
        </w:rPr>
        <w:t>consumers in suburban locations</w:t>
      </w:r>
      <w:r>
        <w:rPr>
          <w:rFonts w:ascii="Arial" w:hAnsi="Arial" w:cs="Arial"/>
          <w:sz w:val="20"/>
          <w:szCs w:val="20"/>
        </w:rPr>
        <w:t xml:space="preserve"> that are </w:t>
      </w:r>
      <w:r w:rsidRPr="0015049C">
        <w:rPr>
          <w:rFonts w:ascii="Arial" w:hAnsi="Arial" w:cs="Arial"/>
          <w:sz w:val="20"/>
          <w:szCs w:val="20"/>
        </w:rPr>
        <w:t>working from home.</w:t>
      </w:r>
    </w:p>
    <w:p w14:paraId="2C650B3D" w14:textId="4D3FA1FD" w:rsidR="0015049C" w:rsidRDefault="0015049C" w:rsidP="00142DE3">
      <w:pPr>
        <w:rPr>
          <w:rFonts w:ascii="Arial" w:hAnsi="Arial" w:cs="Arial"/>
          <w:sz w:val="20"/>
          <w:szCs w:val="20"/>
        </w:rPr>
      </w:pPr>
      <w:r>
        <w:rPr>
          <w:rFonts w:ascii="Arial" w:hAnsi="Arial" w:cs="Arial"/>
          <w:sz w:val="20"/>
          <w:szCs w:val="20"/>
        </w:rPr>
        <w:t xml:space="preserve">This estimated growth, is </w:t>
      </w:r>
      <w:r w:rsidR="00B96253">
        <w:rPr>
          <w:rFonts w:ascii="Arial" w:hAnsi="Arial" w:cs="Arial"/>
          <w:sz w:val="20"/>
          <w:szCs w:val="20"/>
        </w:rPr>
        <w:t>+</w:t>
      </w:r>
      <w:r>
        <w:rPr>
          <w:rFonts w:ascii="Arial" w:hAnsi="Arial" w:cs="Arial"/>
          <w:sz w:val="20"/>
          <w:szCs w:val="20"/>
        </w:rPr>
        <w:t>0.1ppts higher than the outlet growth forecast for the entire casual dining segment, which will not see it fully recover to pre-pandemic outlet volumes.</w:t>
      </w:r>
    </w:p>
    <w:p w14:paraId="06F7522B" w14:textId="4A882877" w:rsidR="0015049C" w:rsidRDefault="0015049C" w:rsidP="008D13FF">
      <w:pPr>
        <w:rPr>
          <w:rFonts w:ascii="Arial" w:hAnsi="Arial" w:cs="Arial"/>
          <w:sz w:val="20"/>
          <w:szCs w:val="20"/>
        </w:rPr>
      </w:pPr>
      <w:r>
        <w:rPr>
          <w:rFonts w:ascii="Arial" w:hAnsi="Arial" w:cs="Arial"/>
          <w:sz w:val="20"/>
          <w:szCs w:val="20"/>
        </w:rPr>
        <w:t xml:space="preserve">In terms of fastest growing brands, by outlets, within the casual dining segment, </w:t>
      </w:r>
      <w:r w:rsidR="008D13FF">
        <w:rPr>
          <w:rFonts w:ascii="Arial" w:hAnsi="Arial" w:cs="Arial"/>
          <w:sz w:val="20"/>
          <w:szCs w:val="20"/>
        </w:rPr>
        <w:t xml:space="preserve">Megan’s is set to see outlet growth of +4 sites or +28.6%, Sports Bar &amp; Grill +3 outlets or +25.0% and Pizza Pilgrims +4 outlets or +23.5%. </w:t>
      </w:r>
      <w:r w:rsidR="008D13FF" w:rsidRPr="008D13FF">
        <w:rPr>
          <w:rFonts w:ascii="Arial" w:hAnsi="Arial" w:cs="Arial"/>
          <w:sz w:val="20"/>
          <w:szCs w:val="20"/>
        </w:rPr>
        <w:t>German Doner Kebab is forecast to add the</w:t>
      </w:r>
      <w:r w:rsidR="008D13FF">
        <w:rPr>
          <w:rFonts w:ascii="Arial" w:hAnsi="Arial" w:cs="Arial"/>
          <w:sz w:val="20"/>
          <w:szCs w:val="20"/>
        </w:rPr>
        <w:t xml:space="preserve"> </w:t>
      </w:r>
      <w:r w:rsidR="008D13FF" w:rsidRPr="008D13FF">
        <w:rPr>
          <w:rFonts w:ascii="Arial" w:hAnsi="Arial" w:cs="Arial"/>
          <w:sz w:val="20"/>
          <w:szCs w:val="20"/>
        </w:rPr>
        <w:t>largest net number of sites (+11). The brand has achieved rapid UK expansion through franchise and a focus on delivery and</w:t>
      </w:r>
      <w:r w:rsidR="008D13FF">
        <w:rPr>
          <w:rFonts w:ascii="Arial" w:hAnsi="Arial" w:cs="Arial"/>
          <w:sz w:val="20"/>
          <w:szCs w:val="20"/>
        </w:rPr>
        <w:t xml:space="preserve"> </w:t>
      </w:r>
      <w:r w:rsidR="008D13FF" w:rsidRPr="008D13FF">
        <w:rPr>
          <w:rFonts w:ascii="Arial" w:hAnsi="Arial" w:cs="Arial"/>
          <w:sz w:val="20"/>
          <w:szCs w:val="20"/>
        </w:rPr>
        <w:t>takeaway trading.</w:t>
      </w:r>
    </w:p>
    <w:p w14:paraId="1E8D1775" w14:textId="5E6E02E7" w:rsidR="0015049C" w:rsidRDefault="00B706E6" w:rsidP="00B706E6">
      <w:pPr>
        <w:rPr>
          <w:rFonts w:ascii="Arial" w:hAnsi="Arial" w:cs="Arial"/>
          <w:sz w:val="20"/>
          <w:szCs w:val="20"/>
        </w:rPr>
      </w:pPr>
      <w:r w:rsidRPr="00B706E6">
        <w:rPr>
          <w:rFonts w:ascii="Arial" w:hAnsi="Arial" w:cs="Arial"/>
          <w:sz w:val="20"/>
          <w:szCs w:val="20"/>
        </w:rPr>
        <w:t>Branded restaurants are expected to grow</w:t>
      </w:r>
      <w:r>
        <w:rPr>
          <w:rFonts w:ascii="Arial" w:hAnsi="Arial" w:cs="Arial"/>
          <w:sz w:val="20"/>
          <w:szCs w:val="20"/>
        </w:rPr>
        <w:t xml:space="preserve"> (+1.2%)</w:t>
      </w:r>
      <w:r w:rsidRPr="00B706E6">
        <w:rPr>
          <w:rFonts w:ascii="Arial" w:hAnsi="Arial" w:cs="Arial"/>
          <w:sz w:val="20"/>
          <w:szCs w:val="20"/>
        </w:rPr>
        <w:t xml:space="preserve"> for the first time in five years, following decline from 2018 to 2021.</w:t>
      </w:r>
      <w:r>
        <w:rPr>
          <w:rFonts w:ascii="Arial" w:hAnsi="Arial" w:cs="Arial"/>
          <w:sz w:val="20"/>
          <w:szCs w:val="20"/>
        </w:rPr>
        <w:t xml:space="preserve"> </w:t>
      </w:r>
      <w:r w:rsidRPr="00B706E6">
        <w:rPr>
          <w:rFonts w:ascii="Arial" w:hAnsi="Arial" w:cs="Arial"/>
          <w:sz w:val="20"/>
          <w:szCs w:val="20"/>
        </w:rPr>
        <w:t>Rosa’s</w:t>
      </w:r>
      <w:r>
        <w:rPr>
          <w:rFonts w:ascii="Arial" w:hAnsi="Arial" w:cs="Arial"/>
          <w:sz w:val="20"/>
          <w:szCs w:val="20"/>
        </w:rPr>
        <w:t xml:space="preserve"> </w:t>
      </w:r>
      <w:r w:rsidRPr="00B706E6">
        <w:rPr>
          <w:rFonts w:ascii="Arial" w:hAnsi="Arial" w:cs="Arial"/>
          <w:sz w:val="20"/>
          <w:szCs w:val="20"/>
        </w:rPr>
        <w:t>Thai and Pizza Pilgrims are expected to lead outlet growth in 2022, following strong delivery trading throughout the pandemic.</w:t>
      </w:r>
    </w:p>
    <w:p w14:paraId="42C5E071" w14:textId="17A5A62F" w:rsidR="0015049C" w:rsidRDefault="00B706E6" w:rsidP="00B706E6">
      <w:pPr>
        <w:rPr>
          <w:rFonts w:ascii="Arial" w:hAnsi="Arial" w:cs="Arial"/>
          <w:sz w:val="20"/>
          <w:szCs w:val="20"/>
        </w:rPr>
      </w:pPr>
      <w:r w:rsidRPr="00B706E6">
        <w:rPr>
          <w:rFonts w:ascii="Arial" w:hAnsi="Arial" w:cs="Arial"/>
          <w:sz w:val="20"/>
          <w:szCs w:val="20"/>
        </w:rPr>
        <w:t>Pub and bar restaurant brands are expected to grow minimally at +0.3% in 2022 after consistent decline in outlets from</w:t>
      </w:r>
      <w:r>
        <w:rPr>
          <w:rFonts w:ascii="Arial" w:hAnsi="Arial" w:cs="Arial"/>
          <w:sz w:val="20"/>
          <w:szCs w:val="20"/>
        </w:rPr>
        <w:t xml:space="preserve"> </w:t>
      </w:r>
      <w:r w:rsidRPr="00B706E6">
        <w:rPr>
          <w:rFonts w:ascii="Arial" w:hAnsi="Arial" w:cs="Arial"/>
          <w:sz w:val="20"/>
          <w:szCs w:val="20"/>
        </w:rPr>
        <w:t xml:space="preserve">2018. Sports Bar &amp; Grill, Brewdog and The Lounges lead growth at +25.0%, +11.4, and +9.5% respectively. </w:t>
      </w:r>
    </w:p>
    <w:p w14:paraId="029059F9" w14:textId="049FD476" w:rsidR="0015049C" w:rsidRDefault="00B706E6" w:rsidP="00B706E6">
      <w:pPr>
        <w:rPr>
          <w:rFonts w:ascii="Arial" w:hAnsi="Arial" w:cs="Arial"/>
          <w:sz w:val="20"/>
          <w:szCs w:val="20"/>
        </w:rPr>
      </w:pPr>
      <w:r w:rsidRPr="00B706E6">
        <w:rPr>
          <w:rFonts w:ascii="Arial" w:hAnsi="Arial" w:cs="Arial"/>
          <w:sz w:val="20"/>
          <w:szCs w:val="20"/>
        </w:rPr>
        <w:t>Traditional fast food is expected to increase by +0.8% in 2022, following consistent growth for the past five years.</w:t>
      </w:r>
      <w:r>
        <w:rPr>
          <w:rFonts w:ascii="Arial" w:hAnsi="Arial" w:cs="Arial"/>
          <w:sz w:val="20"/>
          <w:szCs w:val="20"/>
        </w:rPr>
        <w:t xml:space="preserve"> </w:t>
      </w:r>
      <w:r w:rsidRPr="00B706E6">
        <w:rPr>
          <w:rFonts w:ascii="Arial" w:hAnsi="Arial" w:cs="Arial"/>
          <w:sz w:val="20"/>
          <w:szCs w:val="20"/>
        </w:rPr>
        <w:t>This</w:t>
      </w:r>
      <w:r>
        <w:rPr>
          <w:rFonts w:ascii="Arial" w:hAnsi="Arial" w:cs="Arial"/>
          <w:sz w:val="20"/>
          <w:szCs w:val="20"/>
        </w:rPr>
        <w:t xml:space="preserve"> </w:t>
      </w:r>
      <w:r w:rsidRPr="00B706E6">
        <w:rPr>
          <w:rFonts w:ascii="Arial" w:hAnsi="Arial" w:cs="Arial"/>
          <w:sz w:val="20"/>
          <w:szCs w:val="20"/>
        </w:rPr>
        <w:t>segment was less vulnerable over the course of the pandemic due to brands being able to leverage trading through delivery.</w:t>
      </w:r>
      <w:r>
        <w:rPr>
          <w:rFonts w:ascii="Arial" w:hAnsi="Arial" w:cs="Arial"/>
          <w:sz w:val="20"/>
          <w:szCs w:val="20"/>
        </w:rPr>
        <w:t xml:space="preserve"> </w:t>
      </w:r>
    </w:p>
    <w:p w14:paraId="521E0A5E" w14:textId="38F37C00" w:rsidR="00FC5AF0" w:rsidRDefault="003D61E1" w:rsidP="00FC5AF0">
      <w:pPr>
        <w:rPr>
          <w:rFonts w:ascii="Arial" w:hAnsi="Arial" w:cs="Arial"/>
          <w:i/>
          <w:iCs/>
          <w:sz w:val="20"/>
          <w:szCs w:val="20"/>
        </w:rPr>
      </w:pPr>
      <w:r w:rsidRPr="009400D0">
        <w:rPr>
          <w:rFonts w:ascii="Arial" w:hAnsi="Arial" w:cs="Arial"/>
          <w:sz w:val="20"/>
          <w:szCs w:val="20"/>
        </w:rPr>
        <w:t xml:space="preserve">Commenting on the </w:t>
      </w:r>
      <w:r>
        <w:rPr>
          <w:rFonts w:ascii="Arial" w:hAnsi="Arial" w:cs="Arial"/>
          <w:sz w:val="20"/>
          <w:szCs w:val="20"/>
        </w:rPr>
        <w:t>findings</w:t>
      </w:r>
      <w:r w:rsidRPr="009400D0">
        <w:rPr>
          <w:rFonts w:ascii="Arial" w:hAnsi="Arial" w:cs="Arial"/>
          <w:sz w:val="20"/>
          <w:szCs w:val="20"/>
        </w:rPr>
        <w:t xml:space="preserve">, </w:t>
      </w:r>
      <w:r>
        <w:rPr>
          <w:rFonts w:ascii="Arial" w:hAnsi="Arial" w:cs="Arial"/>
          <w:sz w:val="20"/>
          <w:szCs w:val="20"/>
        </w:rPr>
        <w:t xml:space="preserve">Senior </w:t>
      </w:r>
      <w:r w:rsidRPr="009400D0">
        <w:rPr>
          <w:rFonts w:ascii="Arial" w:hAnsi="Arial" w:cs="Arial"/>
          <w:sz w:val="20"/>
          <w:szCs w:val="20"/>
        </w:rPr>
        <w:t xml:space="preserve">Insight </w:t>
      </w:r>
      <w:r>
        <w:rPr>
          <w:rFonts w:ascii="Arial" w:hAnsi="Arial" w:cs="Arial"/>
          <w:sz w:val="20"/>
          <w:szCs w:val="20"/>
        </w:rPr>
        <w:t>Manager</w:t>
      </w:r>
      <w:r w:rsidRPr="009400D0">
        <w:rPr>
          <w:rFonts w:ascii="Arial" w:hAnsi="Arial" w:cs="Arial"/>
          <w:sz w:val="20"/>
          <w:szCs w:val="20"/>
        </w:rPr>
        <w:t xml:space="preserve"> at Lumina Intelligence, </w:t>
      </w:r>
      <w:r>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B96253">
        <w:rPr>
          <w:rFonts w:ascii="Arial" w:hAnsi="Arial" w:cs="Arial"/>
          <w:i/>
          <w:iCs/>
          <w:sz w:val="20"/>
          <w:szCs w:val="20"/>
        </w:rPr>
        <w:t>C</w:t>
      </w:r>
      <w:r w:rsidR="00FC5AF0">
        <w:rPr>
          <w:rFonts w:ascii="Arial" w:hAnsi="Arial" w:cs="Arial"/>
          <w:i/>
          <w:iCs/>
          <w:sz w:val="20"/>
          <w:szCs w:val="20"/>
        </w:rPr>
        <w:t xml:space="preserve">asual dining is well placed to recover from the impact of the pandemic. This is apparent in the forecasted outlet expansion. </w:t>
      </w:r>
      <w:r w:rsidR="00FC5AF0" w:rsidRPr="00FC5AF0">
        <w:rPr>
          <w:rFonts w:ascii="Arial" w:hAnsi="Arial" w:cs="Arial"/>
          <w:i/>
          <w:iCs/>
          <w:sz w:val="20"/>
          <w:szCs w:val="20"/>
        </w:rPr>
        <w:t>More successful brands have been</w:t>
      </w:r>
      <w:r w:rsidR="00FC5AF0">
        <w:rPr>
          <w:rFonts w:ascii="Arial" w:hAnsi="Arial" w:cs="Arial"/>
          <w:i/>
          <w:iCs/>
          <w:sz w:val="20"/>
          <w:szCs w:val="20"/>
        </w:rPr>
        <w:t xml:space="preserve"> </w:t>
      </w:r>
      <w:r w:rsidR="00FC5AF0" w:rsidRPr="00FC5AF0">
        <w:rPr>
          <w:rFonts w:ascii="Arial" w:hAnsi="Arial" w:cs="Arial"/>
          <w:i/>
          <w:iCs/>
          <w:sz w:val="20"/>
          <w:szCs w:val="20"/>
        </w:rPr>
        <w:t>agile throughout the pandemic,</w:t>
      </w:r>
      <w:r w:rsidR="00FC5AF0">
        <w:rPr>
          <w:rFonts w:ascii="Arial" w:hAnsi="Arial" w:cs="Arial"/>
          <w:i/>
          <w:iCs/>
          <w:sz w:val="20"/>
          <w:szCs w:val="20"/>
        </w:rPr>
        <w:t xml:space="preserve"> c</w:t>
      </w:r>
      <w:r w:rsidR="00FC5AF0" w:rsidRPr="00FC5AF0">
        <w:rPr>
          <w:rFonts w:ascii="Arial" w:hAnsi="Arial" w:cs="Arial"/>
          <w:i/>
          <w:iCs/>
          <w:sz w:val="20"/>
          <w:szCs w:val="20"/>
        </w:rPr>
        <w:t>losing poorly performing sites and</w:t>
      </w:r>
      <w:r w:rsidR="00FC5AF0">
        <w:rPr>
          <w:rFonts w:ascii="Arial" w:hAnsi="Arial" w:cs="Arial"/>
          <w:i/>
          <w:iCs/>
          <w:sz w:val="20"/>
          <w:szCs w:val="20"/>
        </w:rPr>
        <w:t xml:space="preserve"> </w:t>
      </w:r>
      <w:r w:rsidR="00FC5AF0" w:rsidRPr="00FC5AF0">
        <w:rPr>
          <w:rFonts w:ascii="Arial" w:hAnsi="Arial" w:cs="Arial"/>
          <w:i/>
          <w:iCs/>
          <w:sz w:val="20"/>
          <w:szCs w:val="20"/>
        </w:rPr>
        <w:t>re</w:t>
      </w:r>
      <w:r w:rsidR="00FC5AF0">
        <w:rPr>
          <w:rFonts w:ascii="Arial" w:hAnsi="Arial" w:cs="Arial"/>
          <w:i/>
          <w:iCs/>
          <w:sz w:val="20"/>
          <w:szCs w:val="20"/>
        </w:rPr>
        <w:t>-</w:t>
      </w:r>
      <w:r w:rsidR="00FC5AF0" w:rsidRPr="00FC5AF0">
        <w:rPr>
          <w:rFonts w:ascii="Arial" w:hAnsi="Arial" w:cs="Arial"/>
          <w:i/>
          <w:iCs/>
          <w:sz w:val="20"/>
          <w:szCs w:val="20"/>
        </w:rPr>
        <w:t>evaluating location and product</w:t>
      </w:r>
      <w:r w:rsidR="00F44C06">
        <w:rPr>
          <w:rFonts w:ascii="Arial" w:hAnsi="Arial" w:cs="Arial"/>
          <w:i/>
          <w:iCs/>
          <w:sz w:val="20"/>
          <w:szCs w:val="20"/>
        </w:rPr>
        <w:t xml:space="preserve"> </w:t>
      </w:r>
      <w:r w:rsidR="00FC5AF0" w:rsidRPr="00FC5AF0">
        <w:rPr>
          <w:rFonts w:ascii="Arial" w:hAnsi="Arial" w:cs="Arial"/>
          <w:i/>
          <w:iCs/>
          <w:sz w:val="20"/>
          <w:szCs w:val="20"/>
        </w:rPr>
        <w:t>strategies</w:t>
      </w:r>
      <w:r w:rsidR="00B96253">
        <w:rPr>
          <w:rFonts w:ascii="Arial" w:hAnsi="Arial" w:cs="Arial"/>
          <w:i/>
          <w:iCs/>
          <w:sz w:val="20"/>
          <w:szCs w:val="20"/>
        </w:rPr>
        <w:t>, as well as pivoting to delivery</w:t>
      </w:r>
      <w:r w:rsidR="00FC5AF0" w:rsidRPr="00FC5AF0">
        <w:rPr>
          <w:rFonts w:ascii="Arial" w:hAnsi="Arial" w:cs="Arial"/>
          <w:i/>
          <w:iCs/>
          <w:sz w:val="20"/>
          <w:szCs w:val="20"/>
        </w:rPr>
        <w:t>.</w:t>
      </w:r>
      <w:r w:rsidR="00B96253">
        <w:rPr>
          <w:rFonts w:ascii="Arial" w:hAnsi="Arial" w:cs="Arial"/>
          <w:i/>
          <w:iCs/>
          <w:sz w:val="20"/>
          <w:szCs w:val="20"/>
        </w:rPr>
        <w:t xml:space="preserve"> This puts them in a strong position post-pandemic.</w:t>
      </w:r>
      <w:r w:rsidR="00F44C06">
        <w:rPr>
          <w:rFonts w:ascii="Arial" w:hAnsi="Arial" w:cs="Arial"/>
          <w:i/>
          <w:iCs/>
          <w:sz w:val="20"/>
          <w:szCs w:val="20"/>
        </w:rPr>
        <w:t>”</w:t>
      </w:r>
    </w:p>
    <w:p w14:paraId="6D3F34F0" w14:textId="753D3DB4" w:rsidR="003E204B" w:rsidRDefault="00B54F43" w:rsidP="009400D0">
      <w:pPr>
        <w:rPr>
          <w:rFonts w:ascii="Arial" w:hAnsi="Arial" w:cs="Arial"/>
          <w:sz w:val="20"/>
          <w:szCs w:val="20"/>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9AF4682" w14:textId="77777777" w:rsidR="005F1548" w:rsidRPr="005F1548"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0430D547" w14:textId="77777777" w:rsidR="005F1548" w:rsidRPr="005F1548" w:rsidRDefault="005F1548" w:rsidP="005F1548">
      <w:pPr>
        <w:rPr>
          <w:rFonts w:ascii="Arial" w:hAnsi="Arial" w:cs="Arial"/>
          <w:sz w:val="20"/>
          <w:szCs w:val="20"/>
        </w:rPr>
      </w:pPr>
      <w:r w:rsidRPr="005F1548">
        <w:rPr>
          <w:rFonts w:ascii="Arial" w:hAnsi="Arial" w:cs="Arial"/>
          <w:sz w:val="20"/>
          <w:szCs w:val="20"/>
        </w:rPr>
        <w:t>Our Operator Data Index includes:</w:t>
      </w:r>
    </w:p>
    <w:p w14:paraId="6072B56B" w14:textId="310FFE81"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Comprehensive data on leading UK hospitality operators</w:t>
      </w:r>
    </w:p>
    <w:p w14:paraId="77EBD53D" w14:textId="1342C3AC"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Access market rankings, sales and outlet counts and monthly analysis presentations.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9F2AD9"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42DE3"/>
    <w:rsid w:val="0015049C"/>
    <w:rsid w:val="00195F54"/>
    <w:rsid w:val="001A3D4E"/>
    <w:rsid w:val="001C24EF"/>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2B2B"/>
    <w:rsid w:val="00363346"/>
    <w:rsid w:val="003C4BB2"/>
    <w:rsid w:val="003D61E1"/>
    <w:rsid w:val="003E204B"/>
    <w:rsid w:val="00414095"/>
    <w:rsid w:val="0041755B"/>
    <w:rsid w:val="0044412F"/>
    <w:rsid w:val="004B3902"/>
    <w:rsid w:val="004C063F"/>
    <w:rsid w:val="004D23F6"/>
    <w:rsid w:val="004D2874"/>
    <w:rsid w:val="004E551E"/>
    <w:rsid w:val="004F1FF8"/>
    <w:rsid w:val="00520307"/>
    <w:rsid w:val="00526002"/>
    <w:rsid w:val="005446EA"/>
    <w:rsid w:val="00550B08"/>
    <w:rsid w:val="0055150D"/>
    <w:rsid w:val="00553497"/>
    <w:rsid w:val="00566CAE"/>
    <w:rsid w:val="005A2368"/>
    <w:rsid w:val="005B7E51"/>
    <w:rsid w:val="005F1548"/>
    <w:rsid w:val="005F580C"/>
    <w:rsid w:val="00604B4A"/>
    <w:rsid w:val="0061620B"/>
    <w:rsid w:val="00624D3B"/>
    <w:rsid w:val="00641E54"/>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13FF"/>
    <w:rsid w:val="008D4655"/>
    <w:rsid w:val="008D5C4F"/>
    <w:rsid w:val="008E1A01"/>
    <w:rsid w:val="008E317A"/>
    <w:rsid w:val="008E5A63"/>
    <w:rsid w:val="009400D0"/>
    <w:rsid w:val="00945D1A"/>
    <w:rsid w:val="009508D4"/>
    <w:rsid w:val="00966187"/>
    <w:rsid w:val="00970A81"/>
    <w:rsid w:val="009A6775"/>
    <w:rsid w:val="009C0D6C"/>
    <w:rsid w:val="009C3668"/>
    <w:rsid w:val="009C613A"/>
    <w:rsid w:val="009D1543"/>
    <w:rsid w:val="009F2AD9"/>
    <w:rsid w:val="00A70FE3"/>
    <w:rsid w:val="00A90A13"/>
    <w:rsid w:val="00A935A1"/>
    <w:rsid w:val="00AA4D4A"/>
    <w:rsid w:val="00AC1D47"/>
    <w:rsid w:val="00AD236E"/>
    <w:rsid w:val="00AE6B2F"/>
    <w:rsid w:val="00B06987"/>
    <w:rsid w:val="00B06B5C"/>
    <w:rsid w:val="00B414CE"/>
    <w:rsid w:val="00B46E6F"/>
    <w:rsid w:val="00B54F43"/>
    <w:rsid w:val="00B616DB"/>
    <w:rsid w:val="00B706E6"/>
    <w:rsid w:val="00B833AA"/>
    <w:rsid w:val="00B96253"/>
    <w:rsid w:val="00BB4747"/>
    <w:rsid w:val="00BD4097"/>
    <w:rsid w:val="00C16ADB"/>
    <w:rsid w:val="00C176BD"/>
    <w:rsid w:val="00C270FD"/>
    <w:rsid w:val="00C30C1F"/>
    <w:rsid w:val="00C4785A"/>
    <w:rsid w:val="00C545F0"/>
    <w:rsid w:val="00C77C17"/>
    <w:rsid w:val="00C86028"/>
    <w:rsid w:val="00CA6670"/>
    <w:rsid w:val="00CD419B"/>
    <w:rsid w:val="00CE6B8A"/>
    <w:rsid w:val="00D25202"/>
    <w:rsid w:val="00D308D1"/>
    <w:rsid w:val="00D7181B"/>
    <w:rsid w:val="00DB062C"/>
    <w:rsid w:val="00DC2A7D"/>
    <w:rsid w:val="00DF6CC2"/>
    <w:rsid w:val="00E1777E"/>
    <w:rsid w:val="00E214AC"/>
    <w:rsid w:val="00E25B65"/>
    <w:rsid w:val="00E56A95"/>
    <w:rsid w:val="00E72427"/>
    <w:rsid w:val="00E734FF"/>
    <w:rsid w:val="00E800EF"/>
    <w:rsid w:val="00EA1B39"/>
    <w:rsid w:val="00EA5DC6"/>
    <w:rsid w:val="00EB271F"/>
    <w:rsid w:val="00EB365A"/>
    <w:rsid w:val="00ED2C5E"/>
    <w:rsid w:val="00ED3ABD"/>
    <w:rsid w:val="00EE28D1"/>
    <w:rsid w:val="00EF7048"/>
    <w:rsid w:val="00F10F0C"/>
    <w:rsid w:val="00F16921"/>
    <w:rsid w:val="00F44C06"/>
    <w:rsid w:val="00F51A34"/>
    <w:rsid w:val="00F744AB"/>
    <w:rsid w:val="00F965EF"/>
    <w:rsid w:val="00FB2C7F"/>
    <w:rsid w:val="00FC1A9F"/>
    <w:rsid w:val="00FC5AF0"/>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2022-02-02T16:06:00Z</dcterms:created>
  <dcterms:modified xsi:type="dcterms:W3CDTF">2022-02-07T12:08:00Z</dcterms:modified>
</cp:coreProperties>
</file>