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78CA2932" w:rsidR="00ED3ABD" w:rsidRPr="00550B08" w:rsidRDefault="002E0E69" w:rsidP="00ED3ABD">
      <w:pPr>
        <w:spacing w:after="0" w:line="240" w:lineRule="auto"/>
        <w:rPr>
          <w:rStyle w:val="Hyperlink"/>
          <w:rFonts w:ascii="Arial" w:hAnsi="Arial" w:cs="Arial"/>
          <w:color w:val="505050"/>
          <w:sz w:val="18"/>
          <w:szCs w:val="18"/>
        </w:rPr>
      </w:pPr>
      <w:hyperlink r:id="rId7" w:history="1">
        <w:r w:rsidR="003421BA" w:rsidRPr="00282FF2">
          <w:rPr>
            <w:rStyle w:val="Hyperlink"/>
            <w:rFonts w:ascii="Arial" w:hAnsi="Arial" w:cs="Arial"/>
            <w:b/>
            <w:bCs/>
            <w:sz w:val="18"/>
            <w:szCs w:val="18"/>
          </w:rPr>
          <w:t>Giorgio.rigali@lumina-intelligence.com</w:t>
        </w:r>
      </w:hyperlink>
      <w:r w:rsidR="003421BA">
        <w:rPr>
          <w:rFonts w:ascii="Arial" w:hAnsi="Arial" w:cs="Arial"/>
          <w:b/>
          <w:bCs/>
          <w:sz w:val="18"/>
          <w:szCs w:val="18"/>
        </w:rPr>
        <w:t xml:space="preserve"> </w:t>
      </w:r>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1A5E2E9" w:rsidR="00ED3ABD" w:rsidRPr="00550B08" w:rsidRDefault="00571A57"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15</w:t>
      </w:r>
      <w:r w:rsidR="003421BA">
        <w:rPr>
          <w:rStyle w:val="Hyperlink"/>
          <w:rFonts w:ascii="Arial" w:hAnsi="Arial" w:cs="Arial"/>
          <w:b/>
          <w:bCs/>
          <w:color w:val="505050"/>
          <w:sz w:val="18"/>
          <w:szCs w:val="18"/>
          <w:u w:val="none"/>
        </w:rPr>
        <w:t xml:space="preserve"> </w:t>
      </w:r>
      <w:r w:rsidR="00791374">
        <w:rPr>
          <w:rStyle w:val="Hyperlink"/>
          <w:rFonts w:ascii="Arial" w:hAnsi="Arial" w:cs="Arial"/>
          <w:b/>
          <w:bCs/>
          <w:color w:val="505050"/>
          <w:sz w:val="18"/>
          <w:szCs w:val="18"/>
          <w:u w:val="none"/>
        </w:rPr>
        <w:t>March</w:t>
      </w:r>
      <w:r w:rsidR="003421BA">
        <w:rPr>
          <w:rStyle w:val="Hyperlink"/>
          <w:rFonts w:ascii="Arial" w:hAnsi="Arial" w:cs="Arial"/>
          <w:b/>
          <w:bCs/>
          <w:color w:val="505050"/>
          <w:sz w:val="18"/>
          <w:szCs w:val="18"/>
          <w:u w:val="none"/>
        </w:rPr>
        <w:t xml:space="preserve"> 2022</w:t>
      </w:r>
    </w:p>
    <w:p w14:paraId="04302EA3" w14:textId="77777777" w:rsidR="0055150D" w:rsidRDefault="0055150D" w:rsidP="00C545F0">
      <w:pPr>
        <w:jc w:val="center"/>
        <w:rPr>
          <w:rFonts w:ascii="Arial" w:hAnsi="Arial" w:cs="Arial"/>
          <w:b/>
          <w:bCs/>
          <w:sz w:val="32"/>
          <w:szCs w:val="32"/>
        </w:rPr>
      </w:pPr>
    </w:p>
    <w:p w14:paraId="20105AB1" w14:textId="536AB54E" w:rsidR="000809E0" w:rsidRDefault="00791374" w:rsidP="00791374">
      <w:pPr>
        <w:jc w:val="center"/>
        <w:rPr>
          <w:rFonts w:ascii="Arial" w:hAnsi="Arial" w:cs="Arial"/>
          <w:sz w:val="20"/>
          <w:szCs w:val="20"/>
        </w:rPr>
      </w:pPr>
      <w:r w:rsidRPr="00791374">
        <w:rPr>
          <w:rFonts w:ascii="Arial" w:hAnsi="Arial" w:cs="Arial"/>
          <w:b/>
          <w:bCs/>
          <w:sz w:val="32"/>
          <w:szCs w:val="32"/>
        </w:rPr>
        <w:t xml:space="preserve">UK </w:t>
      </w:r>
      <w:r w:rsidR="00571A57">
        <w:rPr>
          <w:rFonts w:ascii="Arial" w:hAnsi="Arial" w:cs="Arial"/>
          <w:b/>
          <w:bCs/>
          <w:sz w:val="32"/>
          <w:szCs w:val="32"/>
        </w:rPr>
        <w:t>food to go market t</w:t>
      </w:r>
      <w:r w:rsidRPr="00791374">
        <w:rPr>
          <w:rFonts w:ascii="Arial" w:hAnsi="Arial" w:cs="Arial"/>
          <w:b/>
          <w:bCs/>
          <w:sz w:val="32"/>
          <w:szCs w:val="32"/>
        </w:rPr>
        <w:t>o grow +</w:t>
      </w:r>
      <w:r w:rsidR="00571A57">
        <w:rPr>
          <w:rFonts w:ascii="Arial" w:hAnsi="Arial" w:cs="Arial"/>
          <w:b/>
          <w:bCs/>
          <w:sz w:val="32"/>
          <w:szCs w:val="32"/>
        </w:rPr>
        <w:t>31.9</w:t>
      </w:r>
      <w:r w:rsidRPr="00791374">
        <w:rPr>
          <w:rFonts w:ascii="Arial" w:hAnsi="Arial" w:cs="Arial"/>
          <w:b/>
          <w:bCs/>
          <w:sz w:val="32"/>
          <w:szCs w:val="32"/>
        </w:rPr>
        <w:t>% in 202</w:t>
      </w:r>
      <w:r>
        <w:rPr>
          <w:rFonts w:ascii="Arial" w:hAnsi="Arial" w:cs="Arial"/>
          <w:b/>
          <w:bCs/>
          <w:sz w:val="32"/>
          <w:szCs w:val="32"/>
        </w:rPr>
        <w:t>2</w:t>
      </w:r>
      <w:r w:rsidRPr="00791374">
        <w:rPr>
          <w:rFonts w:ascii="Arial" w:hAnsi="Arial" w:cs="Arial"/>
          <w:b/>
          <w:bCs/>
          <w:sz w:val="32"/>
          <w:szCs w:val="32"/>
        </w:rPr>
        <w:t>, to a value of £</w:t>
      </w:r>
      <w:r w:rsidR="00571A57">
        <w:rPr>
          <w:rFonts w:ascii="Arial" w:hAnsi="Arial" w:cs="Arial"/>
          <w:b/>
          <w:bCs/>
          <w:sz w:val="32"/>
          <w:szCs w:val="32"/>
        </w:rPr>
        <w:t>21</w:t>
      </w:r>
      <w:r w:rsidRPr="00791374">
        <w:rPr>
          <w:rFonts w:ascii="Arial" w:hAnsi="Arial" w:cs="Arial"/>
          <w:b/>
          <w:bCs/>
          <w:sz w:val="32"/>
          <w:szCs w:val="32"/>
        </w:rPr>
        <w:t>.3 billion</w:t>
      </w:r>
    </w:p>
    <w:p w14:paraId="37131FE0" w14:textId="3EE62E76" w:rsidR="00791374"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886235">
        <w:rPr>
          <w:rFonts w:ascii="Arial" w:hAnsi="Arial" w:cs="Arial"/>
          <w:sz w:val="20"/>
          <w:szCs w:val="20"/>
        </w:rPr>
        <w:t xml:space="preserve">the </w:t>
      </w:r>
      <w:r w:rsidR="00C11CF0">
        <w:rPr>
          <w:rFonts w:ascii="Arial" w:hAnsi="Arial" w:cs="Arial"/>
          <w:sz w:val="20"/>
          <w:szCs w:val="20"/>
        </w:rPr>
        <w:t>new</w:t>
      </w:r>
      <w:r w:rsidR="00886235">
        <w:rPr>
          <w:rFonts w:ascii="Arial" w:hAnsi="Arial" w:cs="Arial"/>
          <w:sz w:val="20"/>
          <w:szCs w:val="20"/>
        </w:rPr>
        <w:t xml:space="preserve"> Lumina Intelligence</w:t>
      </w:r>
      <w:r w:rsidR="00C11CF0">
        <w:rPr>
          <w:rFonts w:ascii="Arial" w:hAnsi="Arial" w:cs="Arial"/>
          <w:sz w:val="20"/>
          <w:szCs w:val="20"/>
        </w:rPr>
        <w:t xml:space="preserve"> UK </w:t>
      </w:r>
      <w:r w:rsidR="00571A57">
        <w:rPr>
          <w:rFonts w:ascii="Arial" w:hAnsi="Arial" w:cs="Arial"/>
          <w:sz w:val="20"/>
          <w:szCs w:val="20"/>
        </w:rPr>
        <w:t xml:space="preserve">Food </w:t>
      </w:r>
      <w:proofErr w:type="gramStart"/>
      <w:r w:rsidR="00571A57">
        <w:rPr>
          <w:rFonts w:ascii="Arial" w:hAnsi="Arial" w:cs="Arial"/>
          <w:sz w:val="20"/>
          <w:szCs w:val="20"/>
        </w:rPr>
        <w:t>To</w:t>
      </w:r>
      <w:proofErr w:type="gramEnd"/>
      <w:r w:rsidR="00571A57">
        <w:rPr>
          <w:rFonts w:ascii="Arial" w:hAnsi="Arial" w:cs="Arial"/>
          <w:sz w:val="20"/>
          <w:szCs w:val="20"/>
        </w:rPr>
        <w:t xml:space="preserve"> Go</w:t>
      </w:r>
      <w:r w:rsidR="00791374">
        <w:rPr>
          <w:rFonts w:ascii="Arial" w:hAnsi="Arial" w:cs="Arial"/>
          <w:sz w:val="20"/>
          <w:szCs w:val="20"/>
        </w:rPr>
        <w:t xml:space="preserve"> Market Report 2022, the UK </w:t>
      </w:r>
      <w:r w:rsidR="00571A57">
        <w:rPr>
          <w:rFonts w:ascii="Arial" w:hAnsi="Arial" w:cs="Arial"/>
          <w:sz w:val="20"/>
          <w:szCs w:val="20"/>
        </w:rPr>
        <w:t xml:space="preserve">food to go </w:t>
      </w:r>
      <w:r w:rsidR="00791374">
        <w:rPr>
          <w:rFonts w:ascii="Arial" w:hAnsi="Arial" w:cs="Arial"/>
          <w:sz w:val="20"/>
          <w:szCs w:val="20"/>
        </w:rPr>
        <w:t xml:space="preserve">market is forecast to grow by </w:t>
      </w:r>
      <w:r w:rsidR="00571A57">
        <w:rPr>
          <w:rFonts w:ascii="Arial" w:hAnsi="Arial" w:cs="Arial"/>
          <w:sz w:val="20"/>
          <w:szCs w:val="20"/>
        </w:rPr>
        <w:t>+31.8%</w:t>
      </w:r>
      <w:r w:rsidR="00791374">
        <w:rPr>
          <w:rFonts w:ascii="Arial" w:hAnsi="Arial" w:cs="Arial"/>
          <w:sz w:val="20"/>
          <w:szCs w:val="20"/>
        </w:rPr>
        <w:t xml:space="preserve"> in 2022, to a value of £</w:t>
      </w:r>
      <w:r w:rsidR="00571A57">
        <w:rPr>
          <w:rFonts w:ascii="Arial" w:hAnsi="Arial" w:cs="Arial"/>
          <w:sz w:val="20"/>
          <w:szCs w:val="20"/>
        </w:rPr>
        <w:t>2</w:t>
      </w:r>
      <w:r w:rsidR="00791374">
        <w:rPr>
          <w:rFonts w:ascii="Arial" w:hAnsi="Arial" w:cs="Arial"/>
          <w:sz w:val="20"/>
          <w:szCs w:val="20"/>
        </w:rPr>
        <w:t>1.3bn.</w:t>
      </w:r>
    </w:p>
    <w:p w14:paraId="1F91345E" w14:textId="17B09134" w:rsidR="00571A57" w:rsidRDefault="00571A57" w:rsidP="008C2F28">
      <w:pPr>
        <w:rPr>
          <w:rFonts w:ascii="Arial" w:hAnsi="Arial" w:cs="Arial"/>
          <w:sz w:val="20"/>
          <w:szCs w:val="20"/>
        </w:rPr>
      </w:pPr>
      <w:r>
        <w:rPr>
          <w:rFonts w:ascii="Arial" w:hAnsi="Arial" w:cs="Arial"/>
          <w:sz w:val="20"/>
          <w:szCs w:val="20"/>
        </w:rPr>
        <w:t>This will see the market fully recover to and exceed its 2019 pre-pandemic market value and follows growth of +38.2% in 2021 (a value of £16.2bn).</w:t>
      </w:r>
    </w:p>
    <w:p w14:paraId="51B0C680" w14:textId="30B1A77E" w:rsidR="00A06C38" w:rsidRPr="00A06C38" w:rsidRDefault="00A06C38" w:rsidP="00AA7134">
      <w:pPr>
        <w:rPr>
          <w:rFonts w:ascii="Arial" w:hAnsi="Arial" w:cs="Arial"/>
          <w:b/>
          <w:bCs/>
          <w:sz w:val="20"/>
          <w:szCs w:val="20"/>
        </w:rPr>
      </w:pPr>
      <w:r w:rsidRPr="00A06C38">
        <w:rPr>
          <w:rFonts w:ascii="Arial" w:hAnsi="Arial" w:cs="Arial"/>
          <w:b/>
          <w:bCs/>
          <w:sz w:val="20"/>
          <w:szCs w:val="20"/>
        </w:rPr>
        <w:t>KEY FTG channels expected to exceed 2019 turnover in 2022</w:t>
      </w:r>
    </w:p>
    <w:p w14:paraId="4D606E1D" w14:textId="385C8D98" w:rsidR="00AA7134" w:rsidRDefault="00AA7134" w:rsidP="00AA7134">
      <w:pPr>
        <w:rPr>
          <w:rFonts w:ascii="Arial" w:hAnsi="Arial" w:cs="Arial"/>
          <w:sz w:val="20"/>
          <w:szCs w:val="20"/>
        </w:rPr>
      </w:pPr>
      <w:r w:rsidRPr="00AA7134">
        <w:rPr>
          <w:rFonts w:ascii="Arial" w:hAnsi="Arial" w:cs="Arial"/>
          <w:sz w:val="20"/>
          <w:szCs w:val="20"/>
        </w:rPr>
        <w:t>Key FTG channels including convenience and supermarket grab and go, coffee shop/cafés as well as travel are</w:t>
      </w:r>
      <w:r>
        <w:rPr>
          <w:rFonts w:ascii="Arial" w:hAnsi="Arial" w:cs="Arial"/>
          <w:sz w:val="20"/>
          <w:szCs w:val="20"/>
        </w:rPr>
        <w:t xml:space="preserve"> </w:t>
      </w:r>
      <w:r w:rsidRPr="00AA7134">
        <w:rPr>
          <w:rFonts w:ascii="Arial" w:hAnsi="Arial" w:cs="Arial"/>
          <w:sz w:val="20"/>
          <w:szCs w:val="20"/>
        </w:rPr>
        <w:t>expected to exceed 2019 turnover in 2022. Branded traditional fast food is expected to have a slower recovery, with delivery</w:t>
      </w:r>
      <w:r>
        <w:rPr>
          <w:rFonts w:ascii="Arial" w:hAnsi="Arial" w:cs="Arial"/>
          <w:sz w:val="20"/>
          <w:szCs w:val="20"/>
        </w:rPr>
        <w:t xml:space="preserve"> </w:t>
      </w:r>
      <w:r w:rsidRPr="00AA7134">
        <w:rPr>
          <w:rFonts w:ascii="Arial" w:hAnsi="Arial" w:cs="Arial"/>
          <w:sz w:val="20"/>
          <w:szCs w:val="20"/>
        </w:rPr>
        <w:t>gaining large proportions of key operators including McDonald’s and KFC’s sales mix.</w:t>
      </w:r>
    </w:p>
    <w:p w14:paraId="294429C0" w14:textId="3CC806A6" w:rsidR="00AA7134" w:rsidRDefault="00AA7134" w:rsidP="00AA7134">
      <w:pPr>
        <w:rPr>
          <w:rFonts w:ascii="Arial" w:hAnsi="Arial" w:cs="Arial"/>
          <w:sz w:val="20"/>
          <w:szCs w:val="20"/>
        </w:rPr>
      </w:pPr>
      <w:r w:rsidRPr="00AA7134">
        <w:rPr>
          <w:rFonts w:ascii="Arial" w:hAnsi="Arial" w:cs="Arial"/>
          <w:sz w:val="20"/>
          <w:szCs w:val="20"/>
        </w:rPr>
        <w:t>Travel, coffee shops/cafés and street food are expected to see the strongest growth in share from 2016</w:t>
      </w:r>
      <w:r>
        <w:rPr>
          <w:rFonts w:ascii="Arial" w:hAnsi="Arial" w:cs="Arial"/>
          <w:sz w:val="20"/>
          <w:szCs w:val="20"/>
        </w:rPr>
        <w:t>-</w:t>
      </w:r>
      <w:r w:rsidRPr="00AA7134">
        <w:rPr>
          <w:rFonts w:ascii="Arial" w:hAnsi="Arial" w:cs="Arial"/>
          <w:sz w:val="20"/>
          <w:szCs w:val="20"/>
        </w:rPr>
        <w:t>2022.</w:t>
      </w:r>
      <w:r>
        <w:rPr>
          <w:rFonts w:ascii="Arial" w:hAnsi="Arial" w:cs="Arial"/>
          <w:sz w:val="20"/>
          <w:szCs w:val="20"/>
        </w:rPr>
        <w:t xml:space="preserve"> </w:t>
      </w:r>
      <w:r w:rsidRPr="00AA7134">
        <w:rPr>
          <w:rFonts w:ascii="Arial" w:hAnsi="Arial" w:cs="Arial"/>
          <w:sz w:val="20"/>
          <w:szCs w:val="20"/>
        </w:rPr>
        <w:t>Convenience store grab and go remains the largest channel in the food to go market, at a share of 28</w:t>
      </w:r>
      <w:r>
        <w:rPr>
          <w:rFonts w:ascii="Arial" w:hAnsi="Arial" w:cs="Arial"/>
          <w:sz w:val="20"/>
          <w:szCs w:val="20"/>
        </w:rPr>
        <w:t>.3</w:t>
      </w:r>
      <w:r w:rsidRPr="00AA7134">
        <w:rPr>
          <w:rFonts w:ascii="Arial" w:hAnsi="Arial" w:cs="Arial"/>
          <w:sz w:val="20"/>
          <w:szCs w:val="20"/>
        </w:rPr>
        <w:t>%, but the channel is</w:t>
      </w:r>
      <w:r>
        <w:rPr>
          <w:rFonts w:ascii="Arial" w:hAnsi="Arial" w:cs="Arial"/>
          <w:sz w:val="20"/>
          <w:szCs w:val="20"/>
        </w:rPr>
        <w:t xml:space="preserve"> </w:t>
      </w:r>
      <w:r w:rsidRPr="00AA7134">
        <w:rPr>
          <w:rFonts w:ascii="Arial" w:hAnsi="Arial" w:cs="Arial"/>
          <w:sz w:val="20"/>
          <w:szCs w:val="20"/>
        </w:rPr>
        <w:t>losing share to higher spend food to go specialists as consumer quality expectations increase.</w:t>
      </w:r>
    </w:p>
    <w:p w14:paraId="2800A909" w14:textId="456AFB29" w:rsidR="00A06C38" w:rsidRPr="00A06C38" w:rsidRDefault="00A06C38" w:rsidP="00443710">
      <w:pPr>
        <w:rPr>
          <w:rFonts w:ascii="Arial" w:hAnsi="Arial" w:cs="Arial"/>
          <w:b/>
          <w:bCs/>
          <w:sz w:val="20"/>
          <w:szCs w:val="20"/>
        </w:rPr>
      </w:pPr>
      <w:r>
        <w:rPr>
          <w:rFonts w:ascii="Arial" w:hAnsi="Arial" w:cs="Arial"/>
          <w:b/>
          <w:bCs/>
          <w:sz w:val="20"/>
          <w:szCs w:val="20"/>
        </w:rPr>
        <w:t>Sandwich &amp; bakery, coffee shop and travel to lead outlet growth</w:t>
      </w:r>
    </w:p>
    <w:p w14:paraId="2302785F" w14:textId="2A736544" w:rsidR="00B708BC" w:rsidRDefault="00B708BC" w:rsidP="00443710">
      <w:pPr>
        <w:rPr>
          <w:rFonts w:ascii="Arial" w:hAnsi="Arial" w:cs="Arial"/>
          <w:sz w:val="20"/>
          <w:szCs w:val="20"/>
        </w:rPr>
      </w:pPr>
      <w:r>
        <w:rPr>
          <w:rFonts w:ascii="Arial" w:hAnsi="Arial" w:cs="Arial"/>
          <w:sz w:val="20"/>
          <w:szCs w:val="20"/>
        </w:rPr>
        <w:t>In outlet terms, t</w:t>
      </w:r>
      <w:r w:rsidR="00443710" w:rsidRPr="00443710">
        <w:rPr>
          <w:rFonts w:ascii="Arial" w:hAnsi="Arial" w:cs="Arial"/>
          <w:sz w:val="20"/>
          <w:szCs w:val="20"/>
        </w:rPr>
        <w:t>he UK food to go market is set to see a net increase of +1,517 sites in 2022, a percentage growth rate of +1.0%, led by</w:t>
      </w:r>
      <w:r>
        <w:rPr>
          <w:rFonts w:ascii="Arial" w:hAnsi="Arial" w:cs="Arial"/>
          <w:sz w:val="20"/>
          <w:szCs w:val="20"/>
        </w:rPr>
        <w:t xml:space="preserve"> </w:t>
      </w:r>
      <w:r w:rsidR="00443710" w:rsidRPr="00443710">
        <w:rPr>
          <w:rFonts w:ascii="Arial" w:hAnsi="Arial" w:cs="Arial"/>
          <w:sz w:val="20"/>
          <w:szCs w:val="20"/>
        </w:rPr>
        <w:t xml:space="preserve">sandwich &amp; bakery, coffee shop and travel segments. </w:t>
      </w:r>
    </w:p>
    <w:p w14:paraId="09C03370" w14:textId="5CA48672" w:rsidR="00926667" w:rsidRDefault="00443710" w:rsidP="00443710">
      <w:pPr>
        <w:rPr>
          <w:rFonts w:ascii="Arial" w:hAnsi="Arial" w:cs="Arial"/>
          <w:sz w:val="20"/>
          <w:szCs w:val="20"/>
        </w:rPr>
      </w:pPr>
      <w:r w:rsidRPr="00443710">
        <w:rPr>
          <w:rFonts w:ascii="Arial" w:hAnsi="Arial" w:cs="Arial"/>
          <w:sz w:val="20"/>
          <w:szCs w:val="20"/>
        </w:rPr>
        <w:t>Operators across the food to go market including Greggs, Costa</w:t>
      </w:r>
      <w:r w:rsidR="00B708BC">
        <w:rPr>
          <w:rFonts w:ascii="Arial" w:hAnsi="Arial" w:cs="Arial"/>
          <w:sz w:val="20"/>
          <w:szCs w:val="20"/>
        </w:rPr>
        <w:t xml:space="preserve"> </w:t>
      </w:r>
      <w:r w:rsidRPr="00443710">
        <w:rPr>
          <w:rFonts w:ascii="Arial" w:hAnsi="Arial" w:cs="Arial"/>
          <w:sz w:val="20"/>
          <w:szCs w:val="20"/>
        </w:rPr>
        <w:t>Coffee and Pret A Manger are diversifying outlet coverage in line with changes to consumer habits following the pandemic, with</w:t>
      </w:r>
      <w:r w:rsidR="00B708BC">
        <w:rPr>
          <w:rFonts w:ascii="Arial" w:hAnsi="Arial" w:cs="Arial"/>
          <w:sz w:val="20"/>
          <w:szCs w:val="20"/>
        </w:rPr>
        <w:t xml:space="preserve"> </w:t>
      </w:r>
      <w:r w:rsidRPr="00443710">
        <w:rPr>
          <w:rFonts w:ascii="Arial" w:hAnsi="Arial" w:cs="Arial"/>
          <w:sz w:val="20"/>
          <w:szCs w:val="20"/>
        </w:rPr>
        <w:t>operators targeting more drive thru, travel led</w:t>
      </w:r>
      <w:r w:rsidR="00B708BC">
        <w:rPr>
          <w:rFonts w:ascii="Arial" w:hAnsi="Arial" w:cs="Arial"/>
          <w:sz w:val="20"/>
          <w:szCs w:val="20"/>
        </w:rPr>
        <w:t xml:space="preserve"> sites,</w:t>
      </w:r>
      <w:r w:rsidRPr="00443710">
        <w:rPr>
          <w:rFonts w:ascii="Arial" w:hAnsi="Arial" w:cs="Arial"/>
          <w:sz w:val="20"/>
          <w:szCs w:val="20"/>
        </w:rPr>
        <w:t xml:space="preserve"> as well as neighbourhood and suburban locations.</w:t>
      </w:r>
    </w:p>
    <w:p w14:paraId="060B4036" w14:textId="16A8AA98" w:rsidR="00A06C38" w:rsidRPr="00A06C38" w:rsidRDefault="00A06C38" w:rsidP="00A06C38">
      <w:pPr>
        <w:rPr>
          <w:rFonts w:ascii="Arial" w:hAnsi="Arial" w:cs="Arial"/>
          <w:b/>
          <w:bCs/>
          <w:sz w:val="20"/>
          <w:szCs w:val="20"/>
        </w:rPr>
      </w:pPr>
      <w:r>
        <w:rPr>
          <w:rFonts w:ascii="Arial" w:hAnsi="Arial" w:cs="Arial"/>
          <w:b/>
          <w:bCs/>
          <w:sz w:val="20"/>
          <w:szCs w:val="20"/>
        </w:rPr>
        <w:t>Top ten brands account for 34.5% share of total FTG market</w:t>
      </w:r>
    </w:p>
    <w:p w14:paraId="5BE19362" w14:textId="235B2F7A" w:rsidR="00926667" w:rsidRDefault="00A06C38" w:rsidP="00A06C38">
      <w:pPr>
        <w:rPr>
          <w:rFonts w:ascii="Arial" w:hAnsi="Arial" w:cs="Arial"/>
          <w:sz w:val="20"/>
          <w:szCs w:val="20"/>
        </w:rPr>
      </w:pPr>
      <w:r w:rsidRPr="00A06C38">
        <w:rPr>
          <w:rFonts w:ascii="Arial" w:hAnsi="Arial" w:cs="Arial"/>
          <w:sz w:val="20"/>
          <w:szCs w:val="20"/>
        </w:rPr>
        <w:t>The top ten brands by turnover saw stronger and unrestricted trading in 2021, leading to an average growth rate of</w:t>
      </w:r>
      <w:r>
        <w:rPr>
          <w:rFonts w:ascii="Arial" w:hAnsi="Arial" w:cs="Arial"/>
          <w:sz w:val="20"/>
          <w:szCs w:val="20"/>
        </w:rPr>
        <w:t xml:space="preserve"> </w:t>
      </w:r>
      <w:r w:rsidR="00682AF8">
        <w:rPr>
          <w:rFonts w:ascii="Arial" w:hAnsi="Arial" w:cs="Arial"/>
          <w:sz w:val="20"/>
          <w:szCs w:val="20"/>
        </w:rPr>
        <w:t>+</w:t>
      </w:r>
      <w:r w:rsidRPr="00A06C38">
        <w:rPr>
          <w:rFonts w:ascii="Arial" w:hAnsi="Arial" w:cs="Arial"/>
          <w:sz w:val="20"/>
          <w:szCs w:val="20"/>
        </w:rPr>
        <w:t>43.2% following overall FTG sales declines in 2020. Both city centre and suburban focused sites benefitted from hybrid</w:t>
      </w:r>
      <w:r>
        <w:rPr>
          <w:rFonts w:ascii="Arial" w:hAnsi="Arial" w:cs="Arial"/>
          <w:sz w:val="20"/>
          <w:szCs w:val="20"/>
        </w:rPr>
        <w:t xml:space="preserve"> </w:t>
      </w:r>
      <w:r w:rsidRPr="00A06C38">
        <w:rPr>
          <w:rFonts w:ascii="Arial" w:hAnsi="Arial" w:cs="Arial"/>
          <w:sz w:val="20"/>
          <w:szCs w:val="20"/>
        </w:rPr>
        <w:t>working patterns, catering to consumers commuting and working from home, especially for lunch occasions.</w:t>
      </w:r>
    </w:p>
    <w:p w14:paraId="0A2E96D1" w14:textId="7C391BFC" w:rsidR="00A06C38" w:rsidRDefault="00A06C38" w:rsidP="00A06C38">
      <w:pPr>
        <w:rPr>
          <w:rFonts w:ascii="Arial" w:hAnsi="Arial" w:cs="Arial"/>
          <w:sz w:val="20"/>
          <w:szCs w:val="20"/>
        </w:rPr>
      </w:pPr>
      <w:r w:rsidRPr="00A06C38">
        <w:rPr>
          <w:rFonts w:ascii="Arial" w:hAnsi="Arial" w:cs="Arial"/>
          <w:sz w:val="20"/>
          <w:szCs w:val="20"/>
        </w:rPr>
        <w:t>Half of the top ten brands increased their share of the food to go market in 2021, bringing their combined share to</w:t>
      </w:r>
      <w:r w:rsidR="00682AF8">
        <w:rPr>
          <w:rFonts w:ascii="Arial" w:hAnsi="Arial" w:cs="Arial"/>
          <w:sz w:val="20"/>
          <w:szCs w:val="20"/>
        </w:rPr>
        <w:t xml:space="preserve"> </w:t>
      </w:r>
      <w:r w:rsidRPr="00A06C38">
        <w:rPr>
          <w:rFonts w:ascii="Arial" w:hAnsi="Arial" w:cs="Arial"/>
          <w:sz w:val="20"/>
          <w:szCs w:val="20"/>
        </w:rPr>
        <w:t>34.5%, up +1.8 ppts from 2020.</w:t>
      </w:r>
    </w:p>
    <w:p w14:paraId="35F37A06" w14:textId="63782AAA" w:rsidR="00682AF8" w:rsidRPr="00682AF8" w:rsidRDefault="00682AF8" w:rsidP="00A06C38">
      <w:pPr>
        <w:rPr>
          <w:rFonts w:ascii="Arial" w:hAnsi="Arial" w:cs="Arial"/>
          <w:b/>
          <w:bCs/>
          <w:sz w:val="20"/>
          <w:szCs w:val="20"/>
        </w:rPr>
      </w:pPr>
      <w:r w:rsidRPr="00682AF8">
        <w:rPr>
          <w:rFonts w:ascii="Arial" w:hAnsi="Arial" w:cs="Arial"/>
          <w:b/>
          <w:bCs/>
          <w:sz w:val="20"/>
          <w:szCs w:val="20"/>
        </w:rPr>
        <w:t>Three-in-ten consumers purchase food to go every week</w:t>
      </w:r>
    </w:p>
    <w:p w14:paraId="71AD2561" w14:textId="6951B1CB" w:rsidR="00175522" w:rsidRDefault="00604945" w:rsidP="00604945">
      <w:pPr>
        <w:rPr>
          <w:rFonts w:ascii="Arial" w:hAnsi="Arial" w:cs="Arial"/>
          <w:sz w:val="20"/>
          <w:szCs w:val="20"/>
        </w:rPr>
      </w:pPr>
      <w:r w:rsidRPr="00604945">
        <w:rPr>
          <w:rFonts w:ascii="Arial" w:hAnsi="Arial" w:cs="Arial"/>
          <w:sz w:val="20"/>
          <w:szCs w:val="20"/>
        </w:rPr>
        <w:t>30% of UK adults have a food to go</w:t>
      </w:r>
      <w:r>
        <w:rPr>
          <w:rFonts w:ascii="Arial" w:hAnsi="Arial" w:cs="Arial"/>
          <w:sz w:val="20"/>
          <w:szCs w:val="20"/>
        </w:rPr>
        <w:t xml:space="preserve"> </w:t>
      </w:r>
      <w:r w:rsidRPr="00604945">
        <w:rPr>
          <w:rFonts w:ascii="Arial" w:hAnsi="Arial" w:cs="Arial"/>
          <w:sz w:val="20"/>
          <w:szCs w:val="20"/>
        </w:rPr>
        <w:t>occasion at least once per week</w:t>
      </w:r>
      <w:r>
        <w:rPr>
          <w:rFonts w:ascii="Arial" w:hAnsi="Arial" w:cs="Arial"/>
          <w:sz w:val="20"/>
          <w:szCs w:val="20"/>
        </w:rPr>
        <w:t>.</w:t>
      </w:r>
    </w:p>
    <w:p w14:paraId="67E3BBFB" w14:textId="6051E1F6" w:rsidR="00926667" w:rsidRDefault="00175522" w:rsidP="00175522">
      <w:pPr>
        <w:rPr>
          <w:rFonts w:ascii="Arial" w:hAnsi="Arial" w:cs="Arial"/>
          <w:sz w:val="20"/>
          <w:szCs w:val="20"/>
        </w:rPr>
      </w:pPr>
      <w:r w:rsidRPr="00175522">
        <w:rPr>
          <w:rFonts w:ascii="Arial" w:hAnsi="Arial" w:cs="Arial"/>
          <w:sz w:val="20"/>
          <w:szCs w:val="20"/>
        </w:rPr>
        <w:t>Drink and lunch hold the biggest share of FTG occasions by day</w:t>
      </w:r>
      <w:r>
        <w:rPr>
          <w:rFonts w:ascii="Arial" w:hAnsi="Arial" w:cs="Arial"/>
          <w:sz w:val="20"/>
          <w:szCs w:val="20"/>
        </w:rPr>
        <w:t xml:space="preserve"> </w:t>
      </w:r>
      <w:r w:rsidRPr="00175522">
        <w:rPr>
          <w:rFonts w:ascii="Arial" w:hAnsi="Arial" w:cs="Arial"/>
          <w:sz w:val="20"/>
          <w:szCs w:val="20"/>
        </w:rPr>
        <w:t>part</w:t>
      </w:r>
      <w:r>
        <w:rPr>
          <w:rFonts w:ascii="Arial" w:hAnsi="Arial" w:cs="Arial"/>
          <w:sz w:val="20"/>
          <w:szCs w:val="20"/>
        </w:rPr>
        <w:t xml:space="preserve"> – a combined 66% of occasions</w:t>
      </w:r>
      <w:r w:rsidRPr="00175522">
        <w:rPr>
          <w:rFonts w:ascii="Arial" w:hAnsi="Arial" w:cs="Arial"/>
          <w:sz w:val="20"/>
          <w:szCs w:val="20"/>
        </w:rPr>
        <w:t xml:space="preserve">. </w:t>
      </w:r>
      <w:r>
        <w:rPr>
          <w:rFonts w:ascii="Arial" w:hAnsi="Arial" w:cs="Arial"/>
          <w:sz w:val="20"/>
          <w:szCs w:val="20"/>
        </w:rPr>
        <w:t>The</w:t>
      </w:r>
      <w:r w:rsidRPr="00175522">
        <w:rPr>
          <w:rFonts w:ascii="Arial" w:hAnsi="Arial" w:cs="Arial"/>
          <w:sz w:val="20"/>
          <w:szCs w:val="20"/>
        </w:rPr>
        <w:t xml:space="preserve"> drink occasion has seen a</w:t>
      </w:r>
      <w:r>
        <w:rPr>
          <w:rFonts w:ascii="Arial" w:hAnsi="Arial" w:cs="Arial"/>
          <w:sz w:val="20"/>
          <w:szCs w:val="20"/>
        </w:rPr>
        <w:t xml:space="preserve"> </w:t>
      </w:r>
      <w:r w:rsidRPr="00175522">
        <w:rPr>
          <w:rFonts w:ascii="Arial" w:hAnsi="Arial" w:cs="Arial"/>
          <w:sz w:val="20"/>
          <w:szCs w:val="20"/>
        </w:rPr>
        <w:t>further boost to day part share of +2.4ppts with hot drink on the go purchases taking a greater share amid a raft of operator</w:t>
      </w:r>
      <w:r>
        <w:rPr>
          <w:rFonts w:ascii="Arial" w:hAnsi="Arial" w:cs="Arial"/>
          <w:sz w:val="20"/>
          <w:szCs w:val="20"/>
        </w:rPr>
        <w:t xml:space="preserve"> </w:t>
      </w:r>
      <w:r w:rsidRPr="00175522">
        <w:rPr>
          <w:rFonts w:ascii="Arial" w:hAnsi="Arial" w:cs="Arial"/>
          <w:sz w:val="20"/>
          <w:szCs w:val="20"/>
        </w:rPr>
        <w:t>innovation around festive hot drinks.</w:t>
      </w:r>
    </w:p>
    <w:p w14:paraId="6EEADA9B" w14:textId="41123D38" w:rsidR="00604945" w:rsidRDefault="00604945" w:rsidP="00175522">
      <w:pPr>
        <w:rPr>
          <w:rFonts w:ascii="Arial" w:hAnsi="Arial" w:cs="Arial"/>
          <w:sz w:val="20"/>
          <w:szCs w:val="20"/>
        </w:rPr>
      </w:pPr>
      <w:r w:rsidRPr="00604945">
        <w:rPr>
          <w:rFonts w:ascii="Arial" w:hAnsi="Arial" w:cs="Arial"/>
          <w:sz w:val="20"/>
          <w:szCs w:val="20"/>
        </w:rPr>
        <w:t xml:space="preserve">Familiarity, good value for money and voucher/promotion/loyalty card have increased as drivers </w:t>
      </w:r>
      <w:r>
        <w:rPr>
          <w:rFonts w:ascii="Arial" w:hAnsi="Arial" w:cs="Arial"/>
          <w:sz w:val="20"/>
          <w:szCs w:val="20"/>
        </w:rPr>
        <w:t xml:space="preserve">to choosing a specific establishment. </w:t>
      </w:r>
    </w:p>
    <w:p w14:paraId="7A3744A1" w14:textId="17F70F36" w:rsidR="00604945" w:rsidRDefault="00604945" w:rsidP="00604945">
      <w:pPr>
        <w:rPr>
          <w:rFonts w:ascii="Arial" w:hAnsi="Arial" w:cs="Arial"/>
          <w:sz w:val="20"/>
          <w:szCs w:val="20"/>
        </w:rPr>
      </w:pPr>
      <w:r w:rsidRPr="00604945">
        <w:rPr>
          <w:rFonts w:ascii="Arial" w:hAnsi="Arial" w:cs="Arial"/>
          <w:sz w:val="20"/>
          <w:szCs w:val="20"/>
        </w:rPr>
        <w:lastRenderedPageBreak/>
        <w:t xml:space="preserve">Gregg’s, Costa Coffee, and McDonald’s lead the FTG market by share of occasions, and each gained share in the </w:t>
      </w:r>
      <w:r>
        <w:rPr>
          <w:rFonts w:ascii="Arial" w:hAnsi="Arial" w:cs="Arial"/>
          <w:sz w:val="20"/>
          <w:szCs w:val="20"/>
        </w:rPr>
        <w:t>12 weeks end ending 30/01/2022</w:t>
      </w:r>
      <w:r w:rsidRPr="00604945">
        <w:rPr>
          <w:rFonts w:ascii="Arial" w:hAnsi="Arial" w:cs="Arial"/>
          <w:sz w:val="20"/>
          <w:szCs w:val="20"/>
        </w:rPr>
        <w:t xml:space="preserve">. </w:t>
      </w:r>
      <w:r>
        <w:rPr>
          <w:rFonts w:ascii="Arial" w:hAnsi="Arial" w:cs="Arial"/>
          <w:sz w:val="20"/>
          <w:szCs w:val="20"/>
        </w:rPr>
        <w:t>Greggs has the highest share of occasions, accounting for 12%, with Costa Coffee accounting for 11% and McDonald’s 10%. These brands</w:t>
      </w:r>
      <w:r w:rsidRPr="00604945">
        <w:rPr>
          <w:rFonts w:ascii="Arial" w:hAnsi="Arial" w:cs="Arial"/>
          <w:sz w:val="20"/>
          <w:szCs w:val="20"/>
        </w:rPr>
        <w:t xml:space="preserve"> have benefited from</w:t>
      </w:r>
      <w:r>
        <w:rPr>
          <w:rFonts w:ascii="Arial" w:hAnsi="Arial" w:cs="Arial"/>
          <w:sz w:val="20"/>
          <w:szCs w:val="20"/>
        </w:rPr>
        <w:t xml:space="preserve"> </w:t>
      </w:r>
      <w:r w:rsidRPr="00604945">
        <w:rPr>
          <w:rFonts w:ascii="Arial" w:hAnsi="Arial" w:cs="Arial"/>
          <w:sz w:val="20"/>
          <w:szCs w:val="20"/>
        </w:rPr>
        <w:t>consumer desire for tried and tested</w:t>
      </w:r>
      <w:r>
        <w:rPr>
          <w:rFonts w:ascii="Arial" w:hAnsi="Arial" w:cs="Arial"/>
          <w:sz w:val="20"/>
          <w:szCs w:val="20"/>
        </w:rPr>
        <w:t xml:space="preserve"> </w:t>
      </w:r>
      <w:r w:rsidRPr="00604945">
        <w:rPr>
          <w:rFonts w:ascii="Arial" w:hAnsi="Arial" w:cs="Arial"/>
          <w:sz w:val="20"/>
          <w:szCs w:val="20"/>
        </w:rPr>
        <w:t>brands</w:t>
      </w:r>
      <w:r>
        <w:rPr>
          <w:rFonts w:ascii="Arial" w:hAnsi="Arial" w:cs="Arial"/>
          <w:sz w:val="20"/>
          <w:szCs w:val="20"/>
        </w:rPr>
        <w:t>.</w:t>
      </w:r>
    </w:p>
    <w:p w14:paraId="4FF0726A" w14:textId="0B35F952" w:rsidR="00682AF8" w:rsidRPr="00604945" w:rsidRDefault="00604945" w:rsidP="00604945">
      <w:pPr>
        <w:rPr>
          <w:rFonts w:ascii="Arial" w:hAnsi="Arial" w:cs="Arial"/>
          <w:b/>
          <w:bCs/>
          <w:sz w:val="20"/>
          <w:szCs w:val="20"/>
        </w:rPr>
      </w:pPr>
      <w:r w:rsidRPr="00604945">
        <w:rPr>
          <w:rFonts w:ascii="Arial" w:hAnsi="Arial" w:cs="Arial"/>
          <w:b/>
          <w:bCs/>
          <w:sz w:val="20"/>
          <w:szCs w:val="20"/>
        </w:rPr>
        <w:t>Food to go to grow by +£1.7 billion from 2022-2025</w:t>
      </w:r>
    </w:p>
    <w:p w14:paraId="113D354A" w14:textId="7E450A70" w:rsidR="00682AF8" w:rsidRDefault="007016FA" w:rsidP="007016FA">
      <w:pPr>
        <w:rPr>
          <w:rFonts w:ascii="Arial" w:hAnsi="Arial" w:cs="Arial"/>
          <w:sz w:val="20"/>
          <w:szCs w:val="20"/>
        </w:rPr>
      </w:pPr>
      <w:r w:rsidRPr="007016FA">
        <w:rPr>
          <w:rFonts w:ascii="Arial" w:hAnsi="Arial" w:cs="Arial"/>
          <w:sz w:val="20"/>
          <w:szCs w:val="20"/>
        </w:rPr>
        <w:t>The UK food to go market is expected</w:t>
      </w:r>
      <w:r>
        <w:rPr>
          <w:rFonts w:ascii="Arial" w:hAnsi="Arial" w:cs="Arial"/>
          <w:sz w:val="20"/>
          <w:szCs w:val="20"/>
        </w:rPr>
        <w:t xml:space="preserve"> </w:t>
      </w:r>
      <w:r w:rsidRPr="007016FA">
        <w:rPr>
          <w:rFonts w:ascii="Arial" w:hAnsi="Arial" w:cs="Arial"/>
          <w:sz w:val="20"/>
          <w:szCs w:val="20"/>
        </w:rPr>
        <w:t>to total £23.0 billion in 2025</w:t>
      </w:r>
      <w:r>
        <w:rPr>
          <w:rFonts w:ascii="Arial" w:hAnsi="Arial" w:cs="Arial"/>
          <w:sz w:val="20"/>
          <w:szCs w:val="20"/>
        </w:rPr>
        <w:t>,</w:t>
      </w:r>
      <w:r w:rsidRPr="007016FA">
        <w:rPr>
          <w:rFonts w:ascii="Arial" w:hAnsi="Arial" w:cs="Arial"/>
          <w:sz w:val="20"/>
          <w:szCs w:val="20"/>
        </w:rPr>
        <w:t xml:space="preserve"> with</w:t>
      </w:r>
      <w:r>
        <w:rPr>
          <w:rFonts w:ascii="Arial" w:hAnsi="Arial" w:cs="Arial"/>
          <w:sz w:val="20"/>
          <w:szCs w:val="20"/>
        </w:rPr>
        <w:t xml:space="preserve"> </w:t>
      </w:r>
      <w:r w:rsidRPr="007016FA">
        <w:rPr>
          <w:rFonts w:ascii="Arial" w:hAnsi="Arial" w:cs="Arial"/>
          <w:sz w:val="20"/>
          <w:szCs w:val="20"/>
        </w:rPr>
        <w:t>robust growth of +2.5% per annum</w:t>
      </w:r>
      <w:r>
        <w:rPr>
          <w:rFonts w:ascii="Arial" w:hAnsi="Arial" w:cs="Arial"/>
          <w:sz w:val="20"/>
          <w:szCs w:val="20"/>
        </w:rPr>
        <w:t xml:space="preserve"> </w:t>
      </w:r>
      <w:r w:rsidRPr="007016FA">
        <w:rPr>
          <w:rFonts w:ascii="Arial" w:hAnsi="Arial" w:cs="Arial"/>
          <w:sz w:val="20"/>
          <w:szCs w:val="20"/>
        </w:rPr>
        <w:t>from 2022</w:t>
      </w:r>
      <w:r>
        <w:rPr>
          <w:rFonts w:ascii="Arial" w:hAnsi="Arial" w:cs="Arial"/>
          <w:sz w:val="20"/>
          <w:szCs w:val="20"/>
        </w:rPr>
        <w:t>-</w:t>
      </w:r>
      <w:r w:rsidRPr="007016FA">
        <w:rPr>
          <w:rFonts w:ascii="Arial" w:hAnsi="Arial" w:cs="Arial"/>
          <w:sz w:val="20"/>
          <w:szCs w:val="20"/>
        </w:rPr>
        <w:t>2025.</w:t>
      </w:r>
    </w:p>
    <w:p w14:paraId="39AE67F8" w14:textId="19E638CA" w:rsidR="007016FA" w:rsidRDefault="007016FA" w:rsidP="007016FA">
      <w:pPr>
        <w:rPr>
          <w:rFonts w:ascii="Arial" w:hAnsi="Arial" w:cs="Arial"/>
          <w:sz w:val="20"/>
          <w:szCs w:val="20"/>
        </w:rPr>
      </w:pPr>
      <w:r w:rsidRPr="007016FA">
        <w:rPr>
          <w:rFonts w:ascii="Arial" w:hAnsi="Arial" w:cs="Arial"/>
          <w:sz w:val="20"/>
          <w:szCs w:val="20"/>
        </w:rPr>
        <w:t>Outlet growth in the market is</w:t>
      </w:r>
      <w:r>
        <w:rPr>
          <w:rFonts w:ascii="Arial" w:hAnsi="Arial" w:cs="Arial"/>
          <w:sz w:val="20"/>
          <w:szCs w:val="20"/>
        </w:rPr>
        <w:t xml:space="preserve"> </w:t>
      </w:r>
      <w:r w:rsidRPr="007016FA">
        <w:rPr>
          <w:rFonts w:ascii="Arial" w:hAnsi="Arial" w:cs="Arial"/>
          <w:sz w:val="20"/>
          <w:szCs w:val="20"/>
        </w:rPr>
        <w:t>expected to reach its highest figure in</w:t>
      </w:r>
      <w:r>
        <w:rPr>
          <w:rFonts w:ascii="Arial" w:hAnsi="Arial" w:cs="Arial"/>
          <w:sz w:val="20"/>
          <w:szCs w:val="20"/>
        </w:rPr>
        <w:t xml:space="preserve"> </w:t>
      </w:r>
      <w:r w:rsidRPr="007016FA">
        <w:rPr>
          <w:rFonts w:ascii="Arial" w:hAnsi="Arial" w:cs="Arial"/>
          <w:sz w:val="20"/>
          <w:szCs w:val="20"/>
        </w:rPr>
        <w:t>six years, at +1.2% in 2025, to a net</w:t>
      </w:r>
      <w:r>
        <w:rPr>
          <w:rFonts w:ascii="Arial" w:hAnsi="Arial" w:cs="Arial"/>
          <w:sz w:val="20"/>
          <w:szCs w:val="20"/>
        </w:rPr>
        <w:t xml:space="preserve"> </w:t>
      </w:r>
      <w:r w:rsidRPr="007016FA">
        <w:rPr>
          <w:rFonts w:ascii="Arial" w:hAnsi="Arial" w:cs="Arial"/>
          <w:sz w:val="20"/>
          <w:szCs w:val="20"/>
        </w:rPr>
        <w:t>value of 156,120 outlets.</w:t>
      </w:r>
    </w:p>
    <w:p w14:paraId="09C5A121" w14:textId="61AF0AD2" w:rsidR="00571A57" w:rsidRPr="00AA7134" w:rsidRDefault="00AA7134" w:rsidP="00926667">
      <w:pPr>
        <w:rPr>
          <w:rFonts w:ascii="Arial" w:hAnsi="Arial" w:cs="Arial"/>
          <w:i/>
          <w:iCs/>
          <w:sz w:val="20"/>
          <w:szCs w:val="20"/>
        </w:rPr>
      </w:pPr>
      <w:r>
        <w:rPr>
          <w:rFonts w:ascii="Arial" w:hAnsi="Arial" w:cs="Arial"/>
          <w:sz w:val="20"/>
          <w:szCs w:val="20"/>
        </w:rPr>
        <w:t>Blonnie Whist, Insight Director at Lumina Intelligence</w:t>
      </w:r>
      <w:r w:rsidRPr="007446FD">
        <w:rPr>
          <w:rFonts w:ascii="Arial" w:hAnsi="Arial" w:cs="Arial"/>
          <w:sz w:val="20"/>
          <w:szCs w:val="20"/>
        </w:rPr>
        <w:t xml:space="preserve"> sa</w:t>
      </w:r>
      <w:r>
        <w:rPr>
          <w:rFonts w:ascii="Arial" w:hAnsi="Arial" w:cs="Arial"/>
          <w:sz w:val="20"/>
          <w:szCs w:val="20"/>
        </w:rPr>
        <w:t>id</w:t>
      </w:r>
      <w:r w:rsidRPr="007446FD">
        <w:rPr>
          <w:rFonts w:ascii="Arial" w:hAnsi="Arial" w:cs="Arial"/>
          <w:sz w:val="20"/>
          <w:szCs w:val="20"/>
        </w:rPr>
        <w:t xml:space="preserve">, </w:t>
      </w:r>
      <w:r w:rsidRPr="00AA7134">
        <w:rPr>
          <w:rFonts w:ascii="Arial" w:hAnsi="Arial" w:cs="Arial"/>
          <w:i/>
          <w:iCs/>
          <w:sz w:val="20"/>
          <w:szCs w:val="20"/>
        </w:rPr>
        <w:t>“</w:t>
      </w:r>
      <w:r w:rsidR="00926667" w:rsidRPr="00AA7134">
        <w:rPr>
          <w:rFonts w:ascii="Arial" w:hAnsi="Arial" w:cs="Arial"/>
          <w:i/>
          <w:iCs/>
          <w:sz w:val="20"/>
          <w:szCs w:val="20"/>
        </w:rPr>
        <w:t xml:space="preserve">During the pandemic, the very nature of food to go was hampered by tight restrictions on movement. However, the channel has always been well placed to recover post-pandemic. This is apparent in our forecasts, which indicate a full recovery by the end of 2022. This growth is set to be driven by </w:t>
      </w:r>
      <w:proofErr w:type="gramStart"/>
      <w:r w:rsidR="00926667" w:rsidRPr="00AA7134">
        <w:rPr>
          <w:rFonts w:ascii="Arial" w:hAnsi="Arial" w:cs="Arial"/>
          <w:i/>
          <w:iCs/>
          <w:sz w:val="20"/>
          <w:szCs w:val="20"/>
        </w:rPr>
        <w:t>a number of</w:t>
      </w:r>
      <w:proofErr w:type="gramEnd"/>
      <w:r w:rsidR="00926667" w:rsidRPr="00AA7134">
        <w:rPr>
          <w:rFonts w:ascii="Arial" w:hAnsi="Arial" w:cs="Arial"/>
          <w:i/>
          <w:iCs/>
          <w:sz w:val="20"/>
          <w:szCs w:val="20"/>
        </w:rPr>
        <w:t xml:space="preserve"> factors. Firstly, the reopening of hospitality, as well as recovery in city centre footfall, will drive food to go occasions as more consumers return to offices at least some of the working week. Secondly, recovery in travel and tourism will boost food to go throughout key parts of 2022, including the summer months. Thirdly, food to go is a relatively low ticket and is well placed to capitalise on tighter budgets as consumers feel the impact of cost increases across food, fuel and utility bills as well as taxation.</w:t>
      </w:r>
      <w:r w:rsidRPr="00AA7134">
        <w:rPr>
          <w:rFonts w:ascii="Arial" w:hAnsi="Arial" w:cs="Arial"/>
          <w:i/>
          <w:iCs/>
          <w:sz w:val="20"/>
          <w:szCs w:val="20"/>
        </w:rPr>
        <w:t>”</w:t>
      </w:r>
    </w:p>
    <w:p w14:paraId="6D3F34F0" w14:textId="47DAF4F4" w:rsidR="003E204B" w:rsidRDefault="00B54F43" w:rsidP="007446FD">
      <w:pPr>
        <w:rPr>
          <w:rFonts w:ascii="Arial" w:hAnsi="Arial" w:cs="Arial"/>
          <w:b/>
          <w:bCs/>
        </w:rPr>
      </w:pPr>
      <w:r>
        <w:rPr>
          <w:rFonts w:ascii="Arial" w:hAnsi="Arial" w:cs="Arial"/>
          <w:sz w:val="20"/>
          <w:szCs w:val="20"/>
        </w:rPr>
        <w:t xml:space="preserve">Find out more about Lumina Intelligence’s </w:t>
      </w:r>
      <w:r w:rsidR="006F25AF">
        <w:rPr>
          <w:rFonts w:ascii="Arial" w:hAnsi="Arial" w:cs="Arial"/>
          <w:sz w:val="20"/>
          <w:szCs w:val="20"/>
        </w:rPr>
        <w:t xml:space="preserve">UK </w:t>
      </w:r>
      <w:r w:rsidR="0035216F">
        <w:rPr>
          <w:rFonts w:ascii="Arial" w:hAnsi="Arial" w:cs="Arial"/>
          <w:sz w:val="20"/>
          <w:szCs w:val="20"/>
        </w:rPr>
        <w:t>Food</w:t>
      </w:r>
      <w:r w:rsidR="00AA7134">
        <w:rPr>
          <w:rFonts w:ascii="Arial" w:hAnsi="Arial" w:cs="Arial"/>
          <w:sz w:val="20"/>
          <w:szCs w:val="20"/>
        </w:rPr>
        <w:t xml:space="preserve"> To Go </w:t>
      </w:r>
      <w:r w:rsidR="006F25AF">
        <w:rPr>
          <w:rFonts w:ascii="Arial" w:hAnsi="Arial" w:cs="Arial"/>
          <w:sz w:val="20"/>
          <w:szCs w:val="20"/>
        </w:rPr>
        <w:t>Market Report 20</w:t>
      </w:r>
      <w:r w:rsidR="00053386">
        <w:rPr>
          <w:rFonts w:ascii="Arial" w:hAnsi="Arial" w:cs="Arial"/>
          <w:sz w:val="20"/>
          <w:szCs w:val="20"/>
        </w:rPr>
        <w:t>2</w:t>
      </w:r>
      <w:r w:rsidR="00F92E83">
        <w:rPr>
          <w:rFonts w:ascii="Arial" w:hAnsi="Arial" w:cs="Arial"/>
          <w:sz w:val="20"/>
          <w:szCs w:val="20"/>
        </w:rPr>
        <w:t>2</w:t>
      </w:r>
      <w:r>
        <w:rPr>
          <w:rFonts w:ascii="Arial" w:hAnsi="Arial" w:cs="Arial"/>
          <w:sz w:val="20"/>
          <w:szCs w:val="20"/>
        </w:rPr>
        <w:t xml:space="preserve"> </w:t>
      </w:r>
      <w:hyperlink r:id="rId8" w:history="1">
        <w:r w:rsidRPr="002E55A7">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1240E117" w:rsid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 xml:space="preserve">Lumina Intelligence </w:t>
      </w:r>
      <w:r w:rsidR="002E4CA2">
        <w:rPr>
          <w:rFonts w:ascii="Arial" w:hAnsi="Arial" w:cs="Arial"/>
          <w:sz w:val="20"/>
          <w:szCs w:val="20"/>
        </w:rPr>
        <w:t xml:space="preserve">UK </w:t>
      </w:r>
      <w:r w:rsidR="0035216F">
        <w:rPr>
          <w:rFonts w:ascii="Arial" w:hAnsi="Arial" w:cs="Arial"/>
          <w:sz w:val="20"/>
          <w:szCs w:val="20"/>
        </w:rPr>
        <w:t>Food</w:t>
      </w:r>
      <w:r w:rsidR="00431F84">
        <w:rPr>
          <w:rFonts w:ascii="Arial" w:hAnsi="Arial" w:cs="Arial"/>
          <w:sz w:val="20"/>
          <w:szCs w:val="20"/>
        </w:rPr>
        <w:t xml:space="preserve"> </w:t>
      </w:r>
      <w:proofErr w:type="gramStart"/>
      <w:r w:rsidR="00431F84">
        <w:rPr>
          <w:rFonts w:ascii="Arial" w:hAnsi="Arial" w:cs="Arial"/>
          <w:sz w:val="20"/>
          <w:szCs w:val="20"/>
        </w:rPr>
        <w:t>To</w:t>
      </w:r>
      <w:proofErr w:type="gramEnd"/>
      <w:r w:rsidR="00431F84">
        <w:rPr>
          <w:rFonts w:ascii="Arial" w:hAnsi="Arial" w:cs="Arial"/>
          <w:sz w:val="20"/>
          <w:szCs w:val="20"/>
        </w:rPr>
        <w:t xml:space="preserve"> Go</w:t>
      </w:r>
      <w:r w:rsidR="002E4CA2">
        <w:rPr>
          <w:rFonts w:ascii="Arial" w:hAnsi="Arial" w:cs="Arial"/>
          <w:sz w:val="20"/>
          <w:szCs w:val="20"/>
        </w:rPr>
        <w:t xml:space="preserve"> Market Report 202</w:t>
      </w:r>
      <w:r w:rsidR="00F92E83">
        <w:rPr>
          <w:rFonts w:ascii="Arial" w:hAnsi="Arial" w:cs="Arial"/>
          <w:sz w:val="20"/>
          <w:szCs w:val="20"/>
        </w:rPr>
        <w:t>2</w:t>
      </w:r>
      <w:r w:rsidR="002E4CA2">
        <w:rPr>
          <w:rFonts w:ascii="Arial" w:hAnsi="Arial" w:cs="Arial"/>
          <w:sz w:val="20"/>
          <w:szCs w:val="20"/>
        </w:rPr>
        <w:t xml:space="preserve"> </w:t>
      </w:r>
      <w:r w:rsidR="001B4C07">
        <w:rPr>
          <w:rFonts w:ascii="Arial" w:hAnsi="Arial" w:cs="Arial"/>
          <w:sz w:val="20"/>
          <w:szCs w:val="20"/>
        </w:rPr>
        <w:t>brings together</w:t>
      </w:r>
      <w:r w:rsidR="002E4CA2">
        <w:rPr>
          <w:rFonts w:ascii="Arial" w:hAnsi="Arial" w:cs="Arial"/>
          <w:sz w:val="20"/>
          <w:szCs w:val="20"/>
        </w:rPr>
        <w:t xml:space="preserve"> various data solutions from Lumina Intelligence:</w:t>
      </w:r>
    </w:p>
    <w:p w14:paraId="6834E68F" w14:textId="11567A6B" w:rsidR="00431F84" w:rsidRPr="007016FA" w:rsidRDefault="00431F84" w:rsidP="00780E69">
      <w:pPr>
        <w:pStyle w:val="ListParagraph"/>
        <w:numPr>
          <w:ilvl w:val="0"/>
          <w:numId w:val="12"/>
        </w:numPr>
        <w:rPr>
          <w:rFonts w:ascii="Arial" w:hAnsi="Arial" w:cs="Arial"/>
          <w:sz w:val="20"/>
          <w:szCs w:val="20"/>
        </w:rPr>
      </w:pPr>
      <w:r w:rsidRPr="007016FA">
        <w:rPr>
          <w:rFonts w:ascii="Arial" w:hAnsi="Arial" w:cs="Arial"/>
          <w:sz w:val="20"/>
          <w:szCs w:val="20"/>
        </w:rPr>
        <w:t>Consumer eating out behaviour across all UK</w:t>
      </w:r>
      <w:r w:rsidR="007016FA" w:rsidRPr="007016FA">
        <w:rPr>
          <w:rFonts w:ascii="Arial" w:hAnsi="Arial" w:cs="Arial"/>
          <w:sz w:val="20"/>
          <w:szCs w:val="20"/>
        </w:rPr>
        <w:t xml:space="preserve"> </w:t>
      </w:r>
      <w:r w:rsidRPr="007016FA">
        <w:rPr>
          <w:rFonts w:ascii="Arial" w:hAnsi="Arial" w:cs="Arial"/>
          <w:sz w:val="20"/>
          <w:szCs w:val="20"/>
        </w:rPr>
        <w:t>eating and drinking out channels through the</w:t>
      </w:r>
      <w:r w:rsidR="007016FA" w:rsidRPr="007016FA">
        <w:rPr>
          <w:rFonts w:ascii="Arial" w:hAnsi="Arial" w:cs="Arial"/>
          <w:sz w:val="20"/>
          <w:szCs w:val="20"/>
        </w:rPr>
        <w:t xml:space="preserve"> </w:t>
      </w:r>
      <w:r w:rsidRPr="007016FA">
        <w:rPr>
          <w:rFonts w:ascii="Arial" w:hAnsi="Arial" w:cs="Arial"/>
          <w:sz w:val="20"/>
          <w:szCs w:val="20"/>
        </w:rPr>
        <w:t>Lumina Intelligence Eating &amp; Drinking Out Panel,</w:t>
      </w:r>
      <w:r w:rsidR="007016FA">
        <w:rPr>
          <w:rFonts w:ascii="Arial" w:hAnsi="Arial" w:cs="Arial"/>
          <w:sz w:val="20"/>
          <w:szCs w:val="20"/>
        </w:rPr>
        <w:t xml:space="preserve"> </w:t>
      </w:r>
      <w:r w:rsidRPr="007016FA">
        <w:rPr>
          <w:rFonts w:ascii="Arial" w:hAnsi="Arial" w:cs="Arial"/>
          <w:sz w:val="20"/>
          <w:szCs w:val="20"/>
        </w:rPr>
        <w:t>based on 78,000 interviews each year</w:t>
      </w:r>
    </w:p>
    <w:p w14:paraId="091A5A0E" w14:textId="0AC28C95" w:rsidR="00431F84" w:rsidRPr="007016FA" w:rsidRDefault="00431F84" w:rsidP="002207C4">
      <w:pPr>
        <w:pStyle w:val="ListParagraph"/>
        <w:numPr>
          <w:ilvl w:val="0"/>
          <w:numId w:val="12"/>
        </w:numPr>
        <w:rPr>
          <w:rFonts w:ascii="Arial" w:hAnsi="Arial" w:cs="Arial"/>
          <w:sz w:val="20"/>
          <w:szCs w:val="20"/>
        </w:rPr>
      </w:pPr>
      <w:r w:rsidRPr="007016FA">
        <w:rPr>
          <w:rFonts w:ascii="Arial" w:hAnsi="Arial" w:cs="Arial"/>
          <w:sz w:val="20"/>
          <w:szCs w:val="20"/>
        </w:rPr>
        <w:t>Operator sales and outlet performance from</w:t>
      </w:r>
      <w:r w:rsidR="007016FA">
        <w:rPr>
          <w:rFonts w:ascii="Arial" w:hAnsi="Arial" w:cs="Arial"/>
          <w:sz w:val="20"/>
          <w:szCs w:val="20"/>
        </w:rPr>
        <w:t xml:space="preserve"> </w:t>
      </w:r>
      <w:r w:rsidRPr="007016FA">
        <w:rPr>
          <w:rFonts w:ascii="Arial" w:hAnsi="Arial" w:cs="Arial"/>
          <w:sz w:val="20"/>
          <w:szCs w:val="20"/>
        </w:rPr>
        <w:t>Lumina Intelligence’s Operator Data Index</w:t>
      </w:r>
    </w:p>
    <w:p w14:paraId="16BCAB63" w14:textId="611E97F4" w:rsidR="007016FA" w:rsidRPr="007016FA" w:rsidRDefault="00431F84" w:rsidP="005846BE">
      <w:pPr>
        <w:pStyle w:val="ListParagraph"/>
        <w:numPr>
          <w:ilvl w:val="0"/>
          <w:numId w:val="12"/>
        </w:numPr>
        <w:rPr>
          <w:rFonts w:ascii="Arial" w:hAnsi="Arial" w:cs="Arial"/>
          <w:sz w:val="20"/>
          <w:szCs w:val="20"/>
        </w:rPr>
      </w:pPr>
      <w:r w:rsidRPr="007016FA">
        <w:rPr>
          <w:rFonts w:ascii="Arial" w:hAnsi="Arial" w:cs="Arial"/>
          <w:sz w:val="20"/>
          <w:szCs w:val="20"/>
        </w:rPr>
        <w:t>Business Leaders perspectives from Lumina</w:t>
      </w:r>
      <w:r w:rsidR="007016FA" w:rsidRPr="007016FA">
        <w:rPr>
          <w:rFonts w:ascii="Arial" w:hAnsi="Arial" w:cs="Arial"/>
          <w:sz w:val="20"/>
          <w:szCs w:val="20"/>
        </w:rPr>
        <w:t xml:space="preserve"> </w:t>
      </w:r>
      <w:r w:rsidRPr="007016FA">
        <w:rPr>
          <w:rFonts w:ascii="Arial" w:hAnsi="Arial" w:cs="Arial"/>
          <w:sz w:val="20"/>
          <w:szCs w:val="20"/>
        </w:rPr>
        <w:t>Intelligence Top of Mind business leaders survey</w:t>
      </w:r>
      <w:r w:rsidR="007016FA">
        <w:rPr>
          <w:rFonts w:ascii="Arial" w:hAnsi="Arial" w:cs="Arial"/>
          <w:sz w:val="20"/>
          <w:szCs w:val="20"/>
        </w:rPr>
        <w:t xml:space="preserve"> </w:t>
      </w:r>
      <w:r w:rsidRPr="007016FA">
        <w:rPr>
          <w:rFonts w:ascii="Arial" w:hAnsi="Arial" w:cs="Arial"/>
          <w:sz w:val="20"/>
          <w:szCs w:val="20"/>
        </w:rPr>
        <w:t>and Hospitality Leaders Poll</w:t>
      </w:r>
    </w:p>
    <w:p w14:paraId="4CEA97D8" w14:textId="3496C2D1" w:rsidR="00ED3ABD" w:rsidRPr="002969DB" w:rsidRDefault="00ED3ABD" w:rsidP="00431F84">
      <w:pPr>
        <w:rPr>
          <w:rFonts w:ascii="Arial" w:hAnsi="Arial" w:cs="Arial"/>
          <w:b/>
          <w:bCs/>
          <w:sz w:val="20"/>
          <w:szCs w:val="20"/>
        </w:rPr>
      </w:pPr>
      <w:r w:rsidRPr="002969DB">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E0E69"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3026C"/>
    <w:multiLevelType w:val="hybridMultilevel"/>
    <w:tmpl w:val="1F0E9F8E"/>
    <w:lvl w:ilvl="0" w:tplc="08090001">
      <w:start w:val="1"/>
      <w:numFmt w:val="bullet"/>
      <w:lvlText w:val=""/>
      <w:lvlJc w:val="left"/>
      <w:pPr>
        <w:ind w:left="720" w:hanging="360"/>
      </w:pPr>
      <w:rPr>
        <w:rFonts w:ascii="Symbol" w:hAnsi="Symbol" w:hint="default"/>
      </w:rPr>
    </w:lvl>
    <w:lvl w:ilvl="1" w:tplc="CB9CD91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D3A7F"/>
    <w:multiLevelType w:val="hybridMultilevel"/>
    <w:tmpl w:val="C202511A"/>
    <w:lvl w:ilvl="0" w:tplc="51CEBC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B5E62"/>
    <w:multiLevelType w:val="hybridMultilevel"/>
    <w:tmpl w:val="3C68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26A30"/>
    <w:multiLevelType w:val="hybridMultilevel"/>
    <w:tmpl w:val="F272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2"/>
  </w:num>
  <w:num w:numId="6">
    <w:abstractNumId w:val="7"/>
  </w:num>
  <w:num w:numId="7">
    <w:abstractNumId w:val="5"/>
  </w:num>
  <w:num w:numId="8">
    <w:abstractNumId w:val="1"/>
  </w:num>
  <w:num w:numId="9">
    <w:abstractNumId w:val="3"/>
  </w:num>
  <w:num w:numId="10">
    <w:abstractNumId w:val="11"/>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0E11"/>
    <w:rsid w:val="00043467"/>
    <w:rsid w:val="00053386"/>
    <w:rsid w:val="00072404"/>
    <w:rsid w:val="000809E0"/>
    <w:rsid w:val="000F1972"/>
    <w:rsid w:val="00107E2B"/>
    <w:rsid w:val="00113451"/>
    <w:rsid w:val="00116246"/>
    <w:rsid w:val="001249C3"/>
    <w:rsid w:val="00175522"/>
    <w:rsid w:val="00195F54"/>
    <w:rsid w:val="001A3D4E"/>
    <w:rsid w:val="001B4C07"/>
    <w:rsid w:val="001C50C1"/>
    <w:rsid w:val="001C5B98"/>
    <w:rsid w:val="001C65B6"/>
    <w:rsid w:val="001C7BF1"/>
    <w:rsid w:val="001D4D35"/>
    <w:rsid w:val="00214D95"/>
    <w:rsid w:val="00216F72"/>
    <w:rsid w:val="00240CAC"/>
    <w:rsid w:val="00261F91"/>
    <w:rsid w:val="00293E81"/>
    <w:rsid w:val="002969DB"/>
    <w:rsid w:val="002A0F0F"/>
    <w:rsid w:val="002B0A8F"/>
    <w:rsid w:val="002E0E69"/>
    <w:rsid w:val="002E22C9"/>
    <w:rsid w:val="002E4CA2"/>
    <w:rsid w:val="002E55A7"/>
    <w:rsid w:val="002E7454"/>
    <w:rsid w:val="002F089D"/>
    <w:rsid w:val="002F0BB4"/>
    <w:rsid w:val="002F7EAF"/>
    <w:rsid w:val="00302E10"/>
    <w:rsid w:val="00341C49"/>
    <w:rsid w:val="003421BA"/>
    <w:rsid w:val="0035216F"/>
    <w:rsid w:val="00363346"/>
    <w:rsid w:val="003C4BB2"/>
    <w:rsid w:val="003D6B04"/>
    <w:rsid w:val="003D71D8"/>
    <w:rsid w:val="003E204B"/>
    <w:rsid w:val="0041755B"/>
    <w:rsid w:val="00431F84"/>
    <w:rsid w:val="00443710"/>
    <w:rsid w:val="0044412F"/>
    <w:rsid w:val="004802AE"/>
    <w:rsid w:val="004B3902"/>
    <w:rsid w:val="004D23F6"/>
    <w:rsid w:val="004E551E"/>
    <w:rsid w:val="004F1FF8"/>
    <w:rsid w:val="00534F71"/>
    <w:rsid w:val="00550B08"/>
    <w:rsid w:val="0055150D"/>
    <w:rsid w:val="00553497"/>
    <w:rsid w:val="00566CAE"/>
    <w:rsid w:val="00571A57"/>
    <w:rsid w:val="005B08AB"/>
    <w:rsid w:val="005B7E51"/>
    <w:rsid w:val="005F1DBE"/>
    <w:rsid w:val="00604945"/>
    <w:rsid w:val="00604B4A"/>
    <w:rsid w:val="0061620B"/>
    <w:rsid w:val="00633F06"/>
    <w:rsid w:val="006400D6"/>
    <w:rsid w:val="00645FB9"/>
    <w:rsid w:val="0064772D"/>
    <w:rsid w:val="006562DA"/>
    <w:rsid w:val="006577A4"/>
    <w:rsid w:val="00664850"/>
    <w:rsid w:val="00682AF8"/>
    <w:rsid w:val="00691E88"/>
    <w:rsid w:val="006D6A78"/>
    <w:rsid w:val="006D76E4"/>
    <w:rsid w:val="006E609E"/>
    <w:rsid w:val="006E79FF"/>
    <w:rsid w:val="006F25AF"/>
    <w:rsid w:val="006F447C"/>
    <w:rsid w:val="007016FA"/>
    <w:rsid w:val="00720ABB"/>
    <w:rsid w:val="007221DF"/>
    <w:rsid w:val="007229E3"/>
    <w:rsid w:val="007402DC"/>
    <w:rsid w:val="007446FD"/>
    <w:rsid w:val="00754A12"/>
    <w:rsid w:val="00755025"/>
    <w:rsid w:val="0076037A"/>
    <w:rsid w:val="007854AB"/>
    <w:rsid w:val="00791374"/>
    <w:rsid w:val="007A50F0"/>
    <w:rsid w:val="007B0605"/>
    <w:rsid w:val="007C2AE1"/>
    <w:rsid w:val="007D197C"/>
    <w:rsid w:val="007F2D85"/>
    <w:rsid w:val="007F3C85"/>
    <w:rsid w:val="00813785"/>
    <w:rsid w:val="008249B4"/>
    <w:rsid w:val="008276B8"/>
    <w:rsid w:val="00846DDB"/>
    <w:rsid w:val="008542FE"/>
    <w:rsid w:val="00862CCB"/>
    <w:rsid w:val="00882EC4"/>
    <w:rsid w:val="00886235"/>
    <w:rsid w:val="008A46AD"/>
    <w:rsid w:val="008C2F28"/>
    <w:rsid w:val="008D4655"/>
    <w:rsid w:val="008D5C4F"/>
    <w:rsid w:val="008E1A01"/>
    <w:rsid w:val="008E317A"/>
    <w:rsid w:val="008E5A63"/>
    <w:rsid w:val="00906032"/>
    <w:rsid w:val="00926667"/>
    <w:rsid w:val="009A6775"/>
    <w:rsid w:val="009B45B4"/>
    <w:rsid w:val="009C3668"/>
    <w:rsid w:val="009C613A"/>
    <w:rsid w:val="009D1543"/>
    <w:rsid w:val="00A06C38"/>
    <w:rsid w:val="00A63BE9"/>
    <w:rsid w:val="00A70FE3"/>
    <w:rsid w:val="00A935A1"/>
    <w:rsid w:val="00AA4D4A"/>
    <w:rsid w:val="00AA7134"/>
    <w:rsid w:val="00AD236E"/>
    <w:rsid w:val="00AE6B2F"/>
    <w:rsid w:val="00B06987"/>
    <w:rsid w:val="00B06B5C"/>
    <w:rsid w:val="00B414CE"/>
    <w:rsid w:val="00B46E6F"/>
    <w:rsid w:val="00B54F43"/>
    <w:rsid w:val="00B708BC"/>
    <w:rsid w:val="00B833AA"/>
    <w:rsid w:val="00B94423"/>
    <w:rsid w:val="00B97D12"/>
    <w:rsid w:val="00BB4747"/>
    <w:rsid w:val="00BC71E9"/>
    <w:rsid w:val="00BE0091"/>
    <w:rsid w:val="00BF2008"/>
    <w:rsid w:val="00C11CF0"/>
    <w:rsid w:val="00C16ADB"/>
    <w:rsid w:val="00C270FD"/>
    <w:rsid w:val="00C30C1F"/>
    <w:rsid w:val="00C4785A"/>
    <w:rsid w:val="00C545F0"/>
    <w:rsid w:val="00C55E00"/>
    <w:rsid w:val="00C77C17"/>
    <w:rsid w:val="00C86028"/>
    <w:rsid w:val="00CA6670"/>
    <w:rsid w:val="00CE6B8A"/>
    <w:rsid w:val="00CF3A3C"/>
    <w:rsid w:val="00D25202"/>
    <w:rsid w:val="00D308D1"/>
    <w:rsid w:val="00D419B6"/>
    <w:rsid w:val="00D7181B"/>
    <w:rsid w:val="00DB062C"/>
    <w:rsid w:val="00DD63F8"/>
    <w:rsid w:val="00DE5025"/>
    <w:rsid w:val="00E214AC"/>
    <w:rsid w:val="00E56A95"/>
    <w:rsid w:val="00E71142"/>
    <w:rsid w:val="00E72427"/>
    <w:rsid w:val="00E734FF"/>
    <w:rsid w:val="00E800EF"/>
    <w:rsid w:val="00EA1B39"/>
    <w:rsid w:val="00ED2C5E"/>
    <w:rsid w:val="00ED3ABD"/>
    <w:rsid w:val="00EE28D1"/>
    <w:rsid w:val="00EF7048"/>
    <w:rsid w:val="00F10F0C"/>
    <w:rsid w:val="00F16921"/>
    <w:rsid w:val="00F20D39"/>
    <w:rsid w:val="00F7137D"/>
    <w:rsid w:val="00F744AB"/>
    <w:rsid w:val="00F92E83"/>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to-go-market-report-2022/" TargetMode="External"/><Relationship Id="rId3" Type="http://schemas.openxmlformats.org/officeDocument/2006/relationships/styles" Target="styles.xml"/><Relationship Id="rId7" Type="http://schemas.openxmlformats.org/officeDocument/2006/relationships/hyperlink" Target="mailto:Giorgio.rigali@lumina-intellige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2022-03-10T14:11:00Z</dcterms:created>
  <dcterms:modified xsi:type="dcterms:W3CDTF">2022-03-14T08:25:00Z</dcterms:modified>
</cp:coreProperties>
</file>