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6">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78CA2932" w:rsidR="00ED3ABD" w:rsidRPr="00550B08" w:rsidRDefault="00EC2E65" w:rsidP="00ED3ABD">
      <w:pPr>
        <w:spacing w:after="0" w:line="240" w:lineRule="auto"/>
        <w:rPr>
          <w:rStyle w:val="Hyperlink"/>
          <w:rFonts w:ascii="Arial" w:hAnsi="Arial" w:cs="Arial"/>
          <w:color w:val="505050"/>
          <w:sz w:val="18"/>
          <w:szCs w:val="18"/>
        </w:rPr>
      </w:pPr>
      <w:hyperlink r:id="rId7" w:history="1">
        <w:r w:rsidR="003421BA" w:rsidRPr="00282FF2">
          <w:rPr>
            <w:rStyle w:val="Hyperlink"/>
            <w:rFonts w:ascii="Arial" w:hAnsi="Arial" w:cs="Arial"/>
            <w:b/>
            <w:bCs/>
            <w:sz w:val="18"/>
            <w:szCs w:val="18"/>
          </w:rPr>
          <w:t>Giorgio.rigali@lumina-intelligence.com</w:t>
        </w:r>
      </w:hyperlink>
      <w:r w:rsidR="003421BA">
        <w:rPr>
          <w:rFonts w:ascii="Arial" w:hAnsi="Arial" w:cs="Arial"/>
          <w:b/>
          <w:bCs/>
          <w:sz w:val="18"/>
          <w:szCs w:val="18"/>
        </w:rPr>
        <w:t xml:space="preserve"> </w:t>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5D7F7DE" w:rsidR="00ED3ABD" w:rsidRPr="00550B08" w:rsidRDefault="00EE267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A85C10">
        <w:rPr>
          <w:rStyle w:val="Hyperlink"/>
          <w:rFonts w:ascii="Arial" w:hAnsi="Arial" w:cs="Arial"/>
          <w:b/>
          <w:bCs/>
          <w:color w:val="505050"/>
          <w:sz w:val="18"/>
          <w:szCs w:val="18"/>
          <w:u w:val="none"/>
        </w:rPr>
        <w:t>4</w:t>
      </w:r>
      <w:r>
        <w:rPr>
          <w:rStyle w:val="Hyperlink"/>
          <w:rFonts w:ascii="Arial" w:hAnsi="Arial" w:cs="Arial"/>
          <w:b/>
          <w:bCs/>
          <w:color w:val="505050"/>
          <w:sz w:val="18"/>
          <w:szCs w:val="18"/>
          <w:u w:val="none"/>
        </w:rPr>
        <w:t xml:space="preserve"> April</w:t>
      </w:r>
      <w:r w:rsidR="003421BA">
        <w:rPr>
          <w:rStyle w:val="Hyperlink"/>
          <w:rFonts w:ascii="Arial" w:hAnsi="Arial" w:cs="Arial"/>
          <w:b/>
          <w:bCs/>
          <w:color w:val="505050"/>
          <w:sz w:val="18"/>
          <w:szCs w:val="18"/>
          <w:u w:val="none"/>
        </w:rPr>
        <w:t xml:space="preserve"> 2022</w:t>
      </w:r>
    </w:p>
    <w:p w14:paraId="04302EA3" w14:textId="77777777" w:rsidR="0055150D" w:rsidRDefault="0055150D" w:rsidP="00C545F0">
      <w:pPr>
        <w:jc w:val="center"/>
        <w:rPr>
          <w:rFonts w:ascii="Arial" w:hAnsi="Arial" w:cs="Arial"/>
          <w:b/>
          <w:bCs/>
          <w:sz w:val="32"/>
          <w:szCs w:val="32"/>
        </w:rPr>
      </w:pPr>
    </w:p>
    <w:p w14:paraId="20105AB1" w14:textId="35BD1A5B" w:rsidR="000809E0" w:rsidRDefault="00EE267B" w:rsidP="00791374">
      <w:pPr>
        <w:jc w:val="center"/>
        <w:rPr>
          <w:rFonts w:ascii="Arial" w:hAnsi="Arial" w:cs="Arial"/>
          <w:sz w:val="20"/>
          <w:szCs w:val="20"/>
        </w:rPr>
      </w:pPr>
      <w:r>
        <w:rPr>
          <w:rFonts w:ascii="Arial" w:hAnsi="Arial" w:cs="Arial"/>
          <w:b/>
          <w:bCs/>
          <w:sz w:val="32"/>
          <w:szCs w:val="32"/>
        </w:rPr>
        <w:t>41% of consumers agree on the efficacy of HFSS legislation</w:t>
      </w:r>
    </w:p>
    <w:p w14:paraId="46364753" w14:textId="60C0E111" w:rsidR="00EE267B"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EE267B">
        <w:rPr>
          <w:rFonts w:ascii="Arial" w:hAnsi="Arial" w:cs="Arial"/>
          <w:sz w:val="20"/>
          <w:szCs w:val="20"/>
        </w:rPr>
        <w:t xml:space="preserve">data from </w:t>
      </w:r>
      <w:r w:rsidR="00886235">
        <w:rPr>
          <w:rFonts w:ascii="Arial" w:hAnsi="Arial" w:cs="Arial"/>
          <w:sz w:val="20"/>
          <w:szCs w:val="20"/>
        </w:rPr>
        <w:t>Lumina Intelligence</w:t>
      </w:r>
      <w:r w:rsidR="00791374">
        <w:rPr>
          <w:rFonts w:ascii="Arial" w:hAnsi="Arial" w:cs="Arial"/>
          <w:sz w:val="20"/>
          <w:szCs w:val="20"/>
        </w:rPr>
        <w:t xml:space="preserve">, </w:t>
      </w:r>
      <w:r w:rsidR="00EE267B">
        <w:rPr>
          <w:rFonts w:ascii="Arial" w:hAnsi="Arial" w:cs="Arial"/>
          <w:sz w:val="20"/>
          <w:szCs w:val="20"/>
        </w:rPr>
        <w:t>consumers remain divided on the potential impact of HFSS legislation on unhealthy eating habits.</w:t>
      </w:r>
    </w:p>
    <w:p w14:paraId="628738E4" w14:textId="2DC9E009" w:rsidR="00EE267B" w:rsidRDefault="00EE267B" w:rsidP="008C2F28">
      <w:pPr>
        <w:rPr>
          <w:rFonts w:ascii="Arial" w:hAnsi="Arial" w:cs="Arial"/>
          <w:sz w:val="20"/>
          <w:szCs w:val="20"/>
        </w:rPr>
      </w:pPr>
      <w:r>
        <w:rPr>
          <w:rFonts w:ascii="Arial" w:hAnsi="Arial" w:cs="Arial"/>
          <w:sz w:val="20"/>
          <w:szCs w:val="20"/>
        </w:rPr>
        <w:t xml:space="preserve">When asked if they believe HFSS </w:t>
      </w:r>
      <w:r w:rsidRPr="00EE267B">
        <w:rPr>
          <w:rFonts w:ascii="Arial" w:hAnsi="Arial" w:cs="Arial"/>
          <w:sz w:val="20"/>
          <w:szCs w:val="20"/>
        </w:rPr>
        <w:t>legislation will help fight unhealthy eating</w:t>
      </w:r>
      <w:r>
        <w:rPr>
          <w:rFonts w:ascii="Arial" w:hAnsi="Arial" w:cs="Arial"/>
          <w:sz w:val="20"/>
          <w:szCs w:val="20"/>
        </w:rPr>
        <w:t>, consumers answered the following</w:t>
      </w:r>
      <w:r w:rsidR="00C658B3">
        <w:rPr>
          <w:rFonts w:ascii="Arial" w:hAnsi="Arial" w:cs="Arial"/>
          <w:sz w:val="20"/>
          <w:szCs w:val="20"/>
        </w:rPr>
        <w:t>*</w:t>
      </w:r>
      <w:r>
        <w:rPr>
          <w:rFonts w:ascii="Arial" w:hAnsi="Arial" w:cs="Arial"/>
          <w:sz w:val="20"/>
          <w:szCs w:val="20"/>
        </w:rPr>
        <w:t>:</w:t>
      </w:r>
    </w:p>
    <w:tbl>
      <w:tblPr>
        <w:tblStyle w:val="TableGrid"/>
        <w:tblW w:w="0" w:type="auto"/>
        <w:tblLook w:val="04A0" w:firstRow="1" w:lastRow="0" w:firstColumn="1" w:lastColumn="0" w:noHBand="0" w:noVBand="1"/>
      </w:tblPr>
      <w:tblGrid>
        <w:gridCol w:w="2830"/>
        <w:gridCol w:w="851"/>
      </w:tblGrid>
      <w:tr w:rsidR="00EE267B" w14:paraId="3446DB55" w14:textId="77777777" w:rsidTr="00EE267B">
        <w:tc>
          <w:tcPr>
            <w:tcW w:w="2830" w:type="dxa"/>
          </w:tcPr>
          <w:p w14:paraId="02EF556E" w14:textId="1D043AE0" w:rsidR="00EE267B" w:rsidRDefault="00EE267B" w:rsidP="008C2F28">
            <w:pPr>
              <w:rPr>
                <w:rFonts w:ascii="Arial" w:hAnsi="Arial" w:cs="Arial"/>
                <w:sz w:val="20"/>
                <w:szCs w:val="20"/>
              </w:rPr>
            </w:pPr>
            <w:r>
              <w:rPr>
                <w:rFonts w:ascii="Arial" w:hAnsi="Arial" w:cs="Arial"/>
                <w:sz w:val="20"/>
                <w:szCs w:val="20"/>
              </w:rPr>
              <w:t>Agree</w:t>
            </w:r>
          </w:p>
        </w:tc>
        <w:tc>
          <w:tcPr>
            <w:tcW w:w="851" w:type="dxa"/>
          </w:tcPr>
          <w:p w14:paraId="32AD0FE0" w14:textId="2B6C0E80" w:rsidR="00EE267B" w:rsidRDefault="00C658B3" w:rsidP="008C2F28">
            <w:pPr>
              <w:rPr>
                <w:rFonts w:ascii="Arial" w:hAnsi="Arial" w:cs="Arial"/>
                <w:sz w:val="20"/>
                <w:szCs w:val="20"/>
              </w:rPr>
            </w:pPr>
            <w:r>
              <w:rPr>
                <w:rFonts w:ascii="Arial" w:hAnsi="Arial" w:cs="Arial"/>
                <w:sz w:val="20"/>
                <w:szCs w:val="20"/>
              </w:rPr>
              <w:t>41</w:t>
            </w:r>
            <w:r w:rsidR="00EE267B">
              <w:rPr>
                <w:rFonts w:ascii="Arial" w:hAnsi="Arial" w:cs="Arial"/>
                <w:sz w:val="20"/>
                <w:szCs w:val="20"/>
              </w:rPr>
              <w:t>%</w:t>
            </w:r>
          </w:p>
        </w:tc>
      </w:tr>
      <w:tr w:rsidR="00EE267B" w14:paraId="73F6774C" w14:textId="77777777" w:rsidTr="00EE267B">
        <w:tc>
          <w:tcPr>
            <w:tcW w:w="2830" w:type="dxa"/>
          </w:tcPr>
          <w:p w14:paraId="1D5921A3" w14:textId="3EF1E813" w:rsidR="00EE267B" w:rsidRDefault="00EE267B" w:rsidP="008C2F28">
            <w:pPr>
              <w:rPr>
                <w:rFonts w:ascii="Arial" w:hAnsi="Arial" w:cs="Arial"/>
                <w:sz w:val="20"/>
                <w:szCs w:val="20"/>
              </w:rPr>
            </w:pPr>
            <w:r>
              <w:rPr>
                <w:rFonts w:ascii="Arial" w:hAnsi="Arial" w:cs="Arial"/>
                <w:sz w:val="20"/>
                <w:szCs w:val="20"/>
              </w:rPr>
              <w:t>Neither agree, nor disagree</w:t>
            </w:r>
          </w:p>
        </w:tc>
        <w:tc>
          <w:tcPr>
            <w:tcW w:w="851" w:type="dxa"/>
          </w:tcPr>
          <w:p w14:paraId="7F6C2C8F" w14:textId="540FBD0B" w:rsidR="00EE267B" w:rsidRDefault="00EE267B" w:rsidP="008C2F28">
            <w:pPr>
              <w:rPr>
                <w:rFonts w:ascii="Arial" w:hAnsi="Arial" w:cs="Arial"/>
                <w:sz w:val="20"/>
                <w:szCs w:val="20"/>
              </w:rPr>
            </w:pPr>
            <w:r>
              <w:rPr>
                <w:rFonts w:ascii="Arial" w:hAnsi="Arial" w:cs="Arial"/>
                <w:sz w:val="20"/>
                <w:szCs w:val="20"/>
              </w:rPr>
              <w:t>25%</w:t>
            </w:r>
          </w:p>
        </w:tc>
      </w:tr>
      <w:tr w:rsidR="00EE267B" w14:paraId="174E40A8" w14:textId="77777777" w:rsidTr="00EE267B">
        <w:tc>
          <w:tcPr>
            <w:tcW w:w="2830" w:type="dxa"/>
          </w:tcPr>
          <w:p w14:paraId="514BA541" w14:textId="1E011725" w:rsidR="00EE267B" w:rsidRDefault="00EE267B" w:rsidP="008C2F28">
            <w:pPr>
              <w:rPr>
                <w:rFonts w:ascii="Arial" w:hAnsi="Arial" w:cs="Arial"/>
                <w:sz w:val="20"/>
                <w:szCs w:val="20"/>
              </w:rPr>
            </w:pPr>
            <w:r>
              <w:rPr>
                <w:rFonts w:ascii="Arial" w:hAnsi="Arial" w:cs="Arial"/>
                <w:sz w:val="20"/>
                <w:szCs w:val="20"/>
              </w:rPr>
              <w:t>Disagree</w:t>
            </w:r>
          </w:p>
        </w:tc>
        <w:tc>
          <w:tcPr>
            <w:tcW w:w="851" w:type="dxa"/>
          </w:tcPr>
          <w:p w14:paraId="5E0F9830" w14:textId="62A9F932" w:rsidR="00EE267B" w:rsidRDefault="00C658B3" w:rsidP="008C2F28">
            <w:pPr>
              <w:rPr>
                <w:rFonts w:ascii="Arial" w:hAnsi="Arial" w:cs="Arial"/>
                <w:sz w:val="20"/>
                <w:szCs w:val="20"/>
              </w:rPr>
            </w:pPr>
            <w:r>
              <w:rPr>
                <w:rFonts w:ascii="Arial" w:hAnsi="Arial" w:cs="Arial"/>
                <w:sz w:val="20"/>
                <w:szCs w:val="20"/>
              </w:rPr>
              <w:t>30</w:t>
            </w:r>
            <w:r w:rsidR="00EE267B">
              <w:rPr>
                <w:rFonts w:ascii="Arial" w:hAnsi="Arial" w:cs="Arial"/>
                <w:sz w:val="20"/>
                <w:szCs w:val="20"/>
              </w:rPr>
              <w:t>%</w:t>
            </w:r>
          </w:p>
        </w:tc>
      </w:tr>
      <w:tr w:rsidR="00EE267B" w14:paraId="3618CF32" w14:textId="77777777" w:rsidTr="00EE267B">
        <w:tc>
          <w:tcPr>
            <w:tcW w:w="2830" w:type="dxa"/>
          </w:tcPr>
          <w:p w14:paraId="502C68CA" w14:textId="79676731" w:rsidR="00EE267B" w:rsidRDefault="00EE267B" w:rsidP="008C2F28">
            <w:pPr>
              <w:rPr>
                <w:rFonts w:ascii="Arial" w:hAnsi="Arial" w:cs="Arial"/>
                <w:sz w:val="20"/>
                <w:szCs w:val="20"/>
              </w:rPr>
            </w:pPr>
            <w:r>
              <w:rPr>
                <w:rFonts w:ascii="Arial" w:hAnsi="Arial" w:cs="Arial"/>
                <w:sz w:val="20"/>
                <w:szCs w:val="20"/>
              </w:rPr>
              <w:t>Don’t know</w:t>
            </w:r>
          </w:p>
        </w:tc>
        <w:tc>
          <w:tcPr>
            <w:tcW w:w="851" w:type="dxa"/>
          </w:tcPr>
          <w:p w14:paraId="52BCF53C" w14:textId="059D861C" w:rsidR="00EE267B" w:rsidRDefault="00EE267B" w:rsidP="008C2F28">
            <w:pPr>
              <w:rPr>
                <w:rFonts w:ascii="Arial" w:hAnsi="Arial" w:cs="Arial"/>
                <w:sz w:val="20"/>
                <w:szCs w:val="20"/>
              </w:rPr>
            </w:pPr>
            <w:r>
              <w:rPr>
                <w:rFonts w:ascii="Arial" w:hAnsi="Arial" w:cs="Arial"/>
                <w:sz w:val="20"/>
                <w:szCs w:val="20"/>
              </w:rPr>
              <w:t>3%</w:t>
            </w:r>
          </w:p>
        </w:tc>
      </w:tr>
    </w:tbl>
    <w:p w14:paraId="1E4A9221" w14:textId="77777777" w:rsidR="00EE267B" w:rsidRDefault="00EE267B" w:rsidP="008C2F28">
      <w:pPr>
        <w:rPr>
          <w:rFonts w:ascii="Arial" w:hAnsi="Arial" w:cs="Arial"/>
          <w:sz w:val="20"/>
          <w:szCs w:val="20"/>
        </w:rPr>
      </w:pPr>
    </w:p>
    <w:p w14:paraId="5D83C580" w14:textId="2F33DCDA" w:rsidR="00EE267B" w:rsidRDefault="00587BAF" w:rsidP="008C2F28">
      <w:pPr>
        <w:rPr>
          <w:rFonts w:ascii="Arial" w:hAnsi="Arial" w:cs="Arial"/>
          <w:sz w:val="20"/>
          <w:szCs w:val="20"/>
        </w:rPr>
      </w:pPr>
      <w:r>
        <w:rPr>
          <w:rFonts w:ascii="Arial" w:hAnsi="Arial" w:cs="Arial"/>
          <w:sz w:val="20"/>
          <w:szCs w:val="20"/>
        </w:rPr>
        <w:t xml:space="preserve">Four-in-ten (41%) consumers </w:t>
      </w:r>
      <w:r w:rsidRPr="00587BAF">
        <w:rPr>
          <w:rFonts w:ascii="Arial" w:hAnsi="Arial" w:cs="Arial"/>
          <w:sz w:val="20"/>
          <w:szCs w:val="20"/>
        </w:rPr>
        <w:t>agree on the efficacy of HFSS overall</w:t>
      </w:r>
      <w:r>
        <w:rPr>
          <w:rFonts w:ascii="Arial" w:hAnsi="Arial" w:cs="Arial"/>
          <w:sz w:val="20"/>
          <w:szCs w:val="20"/>
        </w:rPr>
        <w:t xml:space="preserve">. Despite this, 55% </w:t>
      </w:r>
      <w:r w:rsidRPr="00587BAF">
        <w:rPr>
          <w:rFonts w:ascii="Arial" w:hAnsi="Arial" w:cs="Arial"/>
          <w:sz w:val="20"/>
          <w:szCs w:val="20"/>
        </w:rPr>
        <w:t xml:space="preserve">of those who agree on </w:t>
      </w:r>
      <w:r>
        <w:rPr>
          <w:rFonts w:ascii="Arial" w:hAnsi="Arial" w:cs="Arial"/>
          <w:sz w:val="20"/>
          <w:szCs w:val="20"/>
        </w:rPr>
        <w:t>its</w:t>
      </w:r>
      <w:r w:rsidRPr="00587BAF">
        <w:rPr>
          <w:rFonts w:ascii="Arial" w:hAnsi="Arial" w:cs="Arial"/>
          <w:sz w:val="20"/>
          <w:szCs w:val="20"/>
        </w:rPr>
        <w:t xml:space="preserve"> efficacy will still purchase HFSS products</w:t>
      </w:r>
      <w:r>
        <w:rPr>
          <w:rFonts w:ascii="Arial" w:hAnsi="Arial" w:cs="Arial"/>
          <w:sz w:val="20"/>
          <w:szCs w:val="20"/>
        </w:rPr>
        <w:t>.</w:t>
      </w:r>
    </w:p>
    <w:p w14:paraId="0BD60CB8" w14:textId="1DA638B8" w:rsidR="0004063A" w:rsidRPr="0004063A" w:rsidRDefault="0004063A" w:rsidP="008C2F28">
      <w:pPr>
        <w:rPr>
          <w:rFonts w:ascii="Arial" w:hAnsi="Arial" w:cs="Arial"/>
          <w:b/>
          <w:bCs/>
        </w:rPr>
      </w:pPr>
      <w:r w:rsidRPr="0004063A">
        <w:rPr>
          <w:rFonts w:ascii="Arial" w:hAnsi="Arial" w:cs="Arial"/>
          <w:b/>
          <w:bCs/>
        </w:rPr>
        <w:t>57% will continue to buy when not on promotion</w:t>
      </w:r>
      <w:r>
        <w:rPr>
          <w:rFonts w:ascii="Arial" w:hAnsi="Arial" w:cs="Arial"/>
          <w:b/>
          <w:bCs/>
        </w:rPr>
        <w:t>*</w:t>
      </w:r>
    </w:p>
    <w:p w14:paraId="73AC5096" w14:textId="0CDAB76D" w:rsidR="00587BAF" w:rsidRDefault="00587BAF" w:rsidP="008C2F28">
      <w:pPr>
        <w:rPr>
          <w:rFonts w:ascii="Arial" w:hAnsi="Arial" w:cs="Arial"/>
          <w:sz w:val="20"/>
          <w:szCs w:val="20"/>
        </w:rPr>
      </w:pPr>
      <w:r>
        <w:rPr>
          <w:rFonts w:ascii="Arial" w:hAnsi="Arial" w:cs="Arial"/>
          <w:sz w:val="20"/>
          <w:szCs w:val="20"/>
        </w:rPr>
        <w:t xml:space="preserve">With HFSS set to impact </w:t>
      </w:r>
      <w:proofErr w:type="gramStart"/>
      <w:r>
        <w:rPr>
          <w:rFonts w:ascii="Arial" w:hAnsi="Arial" w:cs="Arial"/>
          <w:sz w:val="20"/>
          <w:szCs w:val="20"/>
        </w:rPr>
        <w:t>the majority of</w:t>
      </w:r>
      <w:proofErr w:type="gramEnd"/>
      <w:r>
        <w:rPr>
          <w:rFonts w:ascii="Arial" w:hAnsi="Arial" w:cs="Arial"/>
          <w:sz w:val="20"/>
          <w:szCs w:val="20"/>
        </w:rPr>
        <w:t xml:space="preserve"> promotions around HFSS products, we asked consumers if they would continue to purchase HFSS products if they weren’t on promotion. Here is how they responded:</w:t>
      </w:r>
    </w:p>
    <w:tbl>
      <w:tblPr>
        <w:tblStyle w:val="TableGrid"/>
        <w:tblW w:w="0" w:type="auto"/>
        <w:tblLook w:val="04A0" w:firstRow="1" w:lastRow="0" w:firstColumn="1" w:lastColumn="0" w:noHBand="0" w:noVBand="1"/>
      </w:tblPr>
      <w:tblGrid>
        <w:gridCol w:w="2830"/>
        <w:gridCol w:w="851"/>
      </w:tblGrid>
      <w:tr w:rsidR="00587BAF" w14:paraId="29601AAB" w14:textId="77777777" w:rsidTr="00E83005">
        <w:tc>
          <w:tcPr>
            <w:tcW w:w="2830" w:type="dxa"/>
          </w:tcPr>
          <w:p w14:paraId="365A4E50" w14:textId="10B5BDB9" w:rsidR="00587BAF" w:rsidRDefault="00587BAF" w:rsidP="00E83005">
            <w:pPr>
              <w:rPr>
                <w:rFonts w:ascii="Arial" w:hAnsi="Arial" w:cs="Arial"/>
                <w:sz w:val="20"/>
                <w:szCs w:val="20"/>
              </w:rPr>
            </w:pPr>
            <w:r>
              <w:rPr>
                <w:rFonts w:ascii="Arial" w:hAnsi="Arial" w:cs="Arial"/>
                <w:sz w:val="20"/>
                <w:szCs w:val="20"/>
              </w:rPr>
              <w:t xml:space="preserve">Agree </w:t>
            </w:r>
          </w:p>
        </w:tc>
        <w:tc>
          <w:tcPr>
            <w:tcW w:w="851" w:type="dxa"/>
          </w:tcPr>
          <w:p w14:paraId="417B11A1" w14:textId="36A2702A" w:rsidR="00587BAF" w:rsidRDefault="00C658B3" w:rsidP="00E83005">
            <w:pPr>
              <w:rPr>
                <w:rFonts w:ascii="Arial" w:hAnsi="Arial" w:cs="Arial"/>
                <w:sz w:val="20"/>
                <w:szCs w:val="20"/>
              </w:rPr>
            </w:pPr>
            <w:r>
              <w:rPr>
                <w:rFonts w:ascii="Arial" w:hAnsi="Arial" w:cs="Arial"/>
                <w:sz w:val="20"/>
                <w:szCs w:val="20"/>
              </w:rPr>
              <w:t>5</w:t>
            </w:r>
            <w:r w:rsidR="00587BAF">
              <w:rPr>
                <w:rFonts w:ascii="Arial" w:hAnsi="Arial" w:cs="Arial"/>
                <w:sz w:val="20"/>
                <w:szCs w:val="20"/>
              </w:rPr>
              <w:t>7%</w:t>
            </w:r>
          </w:p>
        </w:tc>
      </w:tr>
      <w:tr w:rsidR="00587BAF" w14:paraId="62658F1B" w14:textId="77777777" w:rsidTr="00E83005">
        <w:tc>
          <w:tcPr>
            <w:tcW w:w="2830" w:type="dxa"/>
          </w:tcPr>
          <w:p w14:paraId="2BF908FE" w14:textId="77777777" w:rsidR="00587BAF" w:rsidRDefault="00587BAF" w:rsidP="00E83005">
            <w:pPr>
              <w:rPr>
                <w:rFonts w:ascii="Arial" w:hAnsi="Arial" w:cs="Arial"/>
                <w:sz w:val="20"/>
                <w:szCs w:val="20"/>
              </w:rPr>
            </w:pPr>
            <w:r>
              <w:rPr>
                <w:rFonts w:ascii="Arial" w:hAnsi="Arial" w:cs="Arial"/>
                <w:sz w:val="20"/>
                <w:szCs w:val="20"/>
              </w:rPr>
              <w:t>Neither agree, nor disagree</w:t>
            </w:r>
          </w:p>
        </w:tc>
        <w:tc>
          <w:tcPr>
            <w:tcW w:w="851" w:type="dxa"/>
          </w:tcPr>
          <w:p w14:paraId="0BDAC288" w14:textId="36D9C33F" w:rsidR="00587BAF" w:rsidRDefault="00587BAF" w:rsidP="00E83005">
            <w:pPr>
              <w:rPr>
                <w:rFonts w:ascii="Arial" w:hAnsi="Arial" w:cs="Arial"/>
                <w:sz w:val="20"/>
                <w:szCs w:val="20"/>
              </w:rPr>
            </w:pPr>
            <w:r>
              <w:rPr>
                <w:rFonts w:ascii="Arial" w:hAnsi="Arial" w:cs="Arial"/>
                <w:sz w:val="20"/>
                <w:szCs w:val="20"/>
              </w:rPr>
              <w:t>27%</w:t>
            </w:r>
          </w:p>
        </w:tc>
      </w:tr>
      <w:tr w:rsidR="00587BAF" w14:paraId="7FF4869E" w14:textId="77777777" w:rsidTr="00E83005">
        <w:tc>
          <w:tcPr>
            <w:tcW w:w="2830" w:type="dxa"/>
          </w:tcPr>
          <w:p w14:paraId="6D2FE562" w14:textId="77777777" w:rsidR="00587BAF" w:rsidRDefault="00587BAF" w:rsidP="00E83005">
            <w:pPr>
              <w:rPr>
                <w:rFonts w:ascii="Arial" w:hAnsi="Arial" w:cs="Arial"/>
                <w:sz w:val="20"/>
                <w:szCs w:val="20"/>
              </w:rPr>
            </w:pPr>
            <w:r>
              <w:rPr>
                <w:rFonts w:ascii="Arial" w:hAnsi="Arial" w:cs="Arial"/>
                <w:sz w:val="20"/>
                <w:szCs w:val="20"/>
              </w:rPr>
              <w:t>Disagree</w:t>
            </w:r>
          </w:p>
        </w:tc>
        <w:tc>
          <w:tcPr>
            <w:tcW w:w="851" w:type="dxa"/>
          </w:tcPr>
          <w:p w14:paraId="617FD3FD" w14:textId="47C2449E" w:rsidR="00587BAF" w:rsidRDefault="00587BAF" w:rsidP="00E83005">
            <w:pPr>
              <w:rPr>
                <w:rFonts w:ascii="Arial" w:hAnsi="Arial" w:cs="Arial"/>
                <w:sz w:val="20"/>
                <w:szCs w:val="20"/>
              </w:rPr>
            </w:pPr>
            <w:r>
              <w:rPr>
                <w:rFonts w:ascii="Arial" w:hAnsi="Arial" w:cs="Arial"/>
                <w:sz w:val="20"/>
                <w:szCs w:val="20"/>
              </w:rPr>
              <w:t>1</w:t>
            </w:r>
            <w:r w:rsidR="00C658B3">
              <w:rPr>
                <w:rFonts w:ascii="Arial" w:hAnsi="Arial" w:cs="Arial"/>
                <w:sz w:val="20"/>
                <w:szCs w:val="20"/>
              </w:rPr>
              <w:t>2</w:t>
            </w:r>
            <w:r>
              <w:rPr>
                <w:rFonts w:ascii="Arial" w:hAnsi="Arial" w:cs="Arial"/>
                <w:sz w:val="20"/>
                <w:szCs w:val="20"/>
              </w:rPr>
              <w:t>%</w:t>
            </w:r>
          </w:p>
        </w:tc>
      </w:tr>
      <w:tr w:rsidR="00587BAF" w14:paraId="1E965D32" w14:textId="77777777" w:rsidTr="00E83005">
        <w:tc>
          <w:tcPr>
            <w:tcW w:w="2830" w:type="dxa"/>
          </w:tcPr>
          <w:p w14:paraId="24187E7F" w14:textId="77777777" w:rsidR="00587BAF" w:rsidRDefault="00587BAF" w:rsidP="00E83005">
            <w:pPr>
              <w:rPr>
                <w:rFonts w:ascii="Arial" w:hAnsi="Arial" w:cs="Arial"/>
                <w:sz w:val="20"/>
                <w:szCs w:val="20"/>
              </w:rPr>
            </w:pPr>
            <w:r>
              <w:rPr>
                <w:rFonts w:ascii="Arial" w:hAnsi="Arial" w:cs="Arial"/>
                <w:sz w:val="20"/>
                <w:szCs w:val="20"/>
              </w:rPr>
              <w:t>Don’t know</w:t>
            </w:r>
          </w:p>
        </w:tc>
        <w:tc>
          <w:tcPr>
            <w:tcW w:w="851" w:type="dxa"/>
          </w:tcPr>
          <w:p w14:paraId="5AB9A25B" w14:textId="77777777" w:rsidR="00587BAF" w:rsidRDefault="00587BAF" w:rsidP="00E83005">
            <w:pPr>
              <w:rPr>
                <w:rFonts w:ascii="Arial" w:hAnsi="Arial" w:cs="Arial"/>
                <w:sz w:val="20"/>
                <w:szCs w:val="20"/>
              </w:rPr>
            </w:pPr>
            <w:r>
              <w:rPr>
                <w:rFonts w:ascii="Arial" w:hAnsi="Arial" w:cs="Arial"/>
                <w:sz w:val="20"/>
                <w:szCs w:val="20"/>
              </w:rPr>
              <w:t>3%</w:t>
            </w:r>
          </w:p>
        </w:tc>
      </w:tr>
    </w:tbl>
    <w:p w14:paraId="287DC4FA" w14:textId="77CAACC5" w:rsidR="00587BAF" w:rsidRDefault="00587BAF" w:rsidP="008C2F28">
      <w:pPr>
        <w:rPr>
          <w:rFonts w:ascii="Arial" w:hAnsi="Arial" w:cs="Arial"/>
          <w:sz w:val="20"/>
          <w:szCs w:val="20"/>
        </w:rPr>
      </w:pPr>
    </w:p>
    <w:p w14:paraId="3552FEEC" w14:textId="52F1C4C0" w:rsidR="00C658B3" w:rsidRDefault="00C658B3" w:rsidP="008C2F28">
      <w:pPr>
        <w:rPr>
          <w:rFonts w:ascii="Arial" w:hAnsi="Arial" w:cs="Arial"/>
          <w:sz w:val="20"/>
          <w:szCs w:val="20"/>
        </w:rPr>
      </w:pPr>
      <w:r>
        <w:rPr>
          <w:rFonts w:ascii="Arial" w:hAnsi="Arial" w:cs="Arial"/>
          <w:sz w:val="20"/>
          <w:szCs w:val="20"/>
        </w:rPr>
        <w:t>Shoppers remain relatively unfazed by a decline in promotional activity, with just 12% indicating that they would not purchase HFSS products if they were not on promotion.</w:t>
      </w:r>
    </w:p>
    <w:p w14:paraId="518CDDEC" w14:textId="410442E9" w:rsidR="00587BAF" w:rsidRPr="0004063A" w:rsidRDefault="0004063A" w:rsidP="008C2F28">
      <w:pPr>
        <w:rPr>
          <w:rFonts w:ascii="Arial" w:hAnsi="Arial" w:cs="Arial"/>
          <w:b/>
          <w:bCs/>
        </w:rPr>
      </w:pPr>
      <w:r w:rsidRPr="0004063A">
        <w:rPr>
          <w:rFonts w:ascii="Arial" w:hAnsi="Arial" w:cs="Arial"/>
          <w:b/>
          <w:bCs/>
        </w:rPr>
        <w:t xml:space="preserve">HFSS location restrictions </w:t>
      </w:r>
      <w:r w:rsidR="00E36CE0">
        <w:rPr>
          <w:rFonts w:ascii="Arial" w:hAnsi="Arial" w:cs="Arial"/>
          <w:b/>
          <w:bCs/>
        </w:rPr>
        <w:t>could</w:t>
      </w:r>
      <w:r w:rsidRPr="0004063A">
        <w:rPr>
          <w:rFonts w:ascii="Arial" w:hAnsi="Arial" w:cs="Arial"/>
          <w:b/>
          <w:bCs/>
        </w:rPr>
        <w:t xml:space="preserve"> impact 46% of </w:t>
      </w:r>
      <w:r w:rsidR="00CB3D1F" w:rsidRPr="00CB3D1F">
        <w:rPr>
          <w:rFonts w:ascii="Arial" w:hAnsi="Arial" w:cs="Arial"/>
          <w:b/>
          <w:bCs/>
        </w:rPr>
        <w:t xml:space="preserve">Confectionery, Crisps and Snacks, and Soft Drink </w:t>
      </w:r>
      <w:r w:rsidRPr="0004063A">
        <w:rPr>
          <w:rFonts w:ascii="Arial" w:hAnsi="Arial" w:cs="Arial"/>
          <w:b/>
          <w:bCs/>
        </w:rPr>
        <w:t>purchases</w:t>
      </w:r>
      <w:r w:rsidR="00E36CE0">
        <w:rPr>
          <w:rFonts w:ascii="Arial" w:hAnsi="Arial" w:cs="Arial"/>
          <w:b/>
          <w:bCs/>
        </w:rPr>
        <w:t xml:space="preserve"> in convenience</w:t>
      </w:r>
      <w:r>
        <w:rPr>
          <w:rFonts w:ascii="Arial" w:hAnsi="Arial" w:cs="Arial"/>
          <w:b/>
          <w:bCs/>
        </w:rPr>
        <w:t>**</w:t>
      </w:r>
    </w:p>
    <w:p w14:paraId="110E70FD" w14:textId="65474F04" w:rsidR="00587BAF" w:rsidRDefault="0004063A" w:rsidP="008C2F28">
      <w:pPr>
        <w:rPr>
          <w:rFonts w:ascii="Arial" w:hAnsi="Arial" w:cs="Arial"/>
          <w:sz w:val="20"/>
          <w:szCs w:val="20"/>
        </w:rPr>
      </w:pPr>
      <w:r>
        <w:rPr>
          <w:rFonts w:ascii="Arial" w:hAnsi="Arial" w:cs="Arial"/>
          <w:sz w:val="20"/>
          <w:szCs w:val="20"/>
        </w:rPr>
        <w:t xml:space="preserve">46% of HFSS products purchased </w:t>
      </w:r>
      <w:r w:rsidR="00EC2E65">
        <w:rPr>
          <w:rFonts w:ascii="Arial" w:hAnsi="Arial" w:cs="Arial"/>
          <w:sz w:val="20"/>
          <w:szCs w:val="20"/>
        </w:rPr>
        <w:t xml:space="preserve">in convenience </w:t>
      </w:r>
      <w:r>
        <w:rPr>
          <w:rFonts w:ascii="Arial" w:hAnsi="Arial" w:cs="Arial"/>
          <w:sz w:val="20"/>
          <w:szCs w:val="20"/>
        </w:rPr>
        <w:t>are picked up from locations set to be restricted under HFSS legislation. The breakdown of where HFSS products are picked up from is (areas set to be restricted highlighted in yellow</w:t>
      </w:r>
      <w:r w:rsidR="000A3E78">
        <w:rPr>
          <w:rFonts w:ascii="Arial" w:hAnsi="Arial" w:cs="Arial"/>
          <w:sz w:val="20"/>
          <w:szCs w:val="20"/>
        </w:rPr>
        <w:t>)</w:t>
      </w:r>
      <w:r>
        <w:rPr>
          <w:rFonts w:ascii="Arial" w:hAnsi="Arial" w:cs="Arial"/>
          <w:sz w:val="20"/>
          <w:szCs w:val="20"/>
        </w:rPr>
        <w:t>:</w:t>
      </w:r>
    </w:p>
    <w:tbl>
      <w:tblPr>
        <w:tblStyle w:val="TableGrid"/>
        <w:tblW w:w="0" w:type="auto"/>
        <w:tblLook w:val="04A0" w:firstRow="1" w:lastRow="0" w:firstColumn="1" w:lastColumn="0" w:noHBand="0" w:noVBand="1"/>
      </w:tblPr>
      <w:tblGrid>
        <w:gridCol w:w="3823"/>
        <w:gridCol w:w="850"/>
      </w:tblGrid>
      <w:tr w:rsidR="0004063A" w14:paraId="77883863" w14:textId="77777777" w:rsidTr="002F7488">
        <w:tc>
          <w:tcPr>
            <w:tcW w:w="3823" w:type="dxa"/>
          </w:tcPr>
          <w:p w14:paraId="74F23B40" w14:textId="713875ED" w:rsidR="0004063A" w:rsidRDefault="0004063A" w:rsidP="008C2F28">
            <w:pPr>
              <w:rPr>
                <w:rFonts w:ascii="Arial" w:hAnsi="Arial" w:cs="Arial"/>
                <w:sz w:val="20"/>
                <w:szCs w:val="20"/>
              </w:rPr>
            </w:pPr>
            <w:r w:rsidRPr="0004063A">
              <w:rPr>
                <w:rFonts w:ascii="Arial" w:hAnsi="Arial" w:cs="Arial"/>
                <w:sz w:val="20"/>
                <w:szCs w:val="20"/>
              </w:rPr>
              <w:t>On the main product shelf</w:t>
            </w:r>
          </w:p>
        </w:tc>
        <w:tc>
          <w:tcPr>
            <w:tcW w:w="850" w:type="dxa"/>
          </w:tcPr>
          <w:p w14:paraId="0BD7F96B" w14:textId="5D0E2D5F" w:rsidR="0004063A" w:rsidRDefault="00127869" w:rsidP="008C2F28">
            <w:pPr>
              <w:rPr>
                <w:rFonts w:ascii="Arial" w:hAnsi="Arial" w:cs="Arial"/>
                <w:sz w:val="20"/>
                <w:szCs w:val="20"/>
              </w:rPr>
            </w:pPr>
            <w:r>
              <w:rPr>
                <w:rFonts w:ascii="Arial" w:hAnsi="Arial" w:cs="Arial"/>
                <w:sz w:val="20"/>
                <w:szCs w:val="20"/>
              </w:rPr>
              <w:t>44%</w:t>
            </w:r>
          </w:p>
        </w:tc>
      </w:tr>
      <w:tr w:rsidR="0004063A" w14:paraId="20C42D67" w14:textId="77777777" w:rsidTr="002F7488">
        <w:tc>
          <w:tcPr>
            <w:tcW w:w="3823" w:type="dxa"/>
            <w:shd w:val="clear" w:color="auto" w:fill="FFC000"/>
          </w:tcPr>
          <w:p w14:paraId="3FE828D9" w14:textId="2BA1BA08" w:rsidR="0004063A" w:rsidRDefault="0004063A" w:rsidP="008C2F28">
            <w:pPr>
              <w:rPr>
                <w:rFonts w:ascii="Arial" w:hAnsi="Arial" w:cs="Arial"/>
                <w:sz w:val="20"/>
                <w:szCs w:val="20"/>
              </w:rPr>
            </w:pPr>
            <w:r w:rsidRPr="0004063A">
              <w:rPr>
                <w:rFonts w:ascii="Arial" w:hAnsi="Arial" w:cs="Arial"/>
                <w:sz w:val="20"/>
                <w:szCs w:val="20"/>
              </w:rPr>
              <w:t>Display on the end of an aisle</w:t>
            </w:r>
          </w:p>
        </w:tc>
        <w:tc>
          <w:tcPr>
            <w:tcW w:w="850" w:type="dxa"/>
            <w:shd w:val="clear" w:color="auto" w:fill="FFC000"/>
          </w:tcPr>
          <w:p w14:paraId="4873E27A" w14:textId="03E42FFD" w:rsidR="0004063A" w:rsidRDefault="00127869" w:rsidP="008C2F28">
            <w:pPr>
              <w:rPr>
                <w:rFonts w:ascii="Arial" w:hAnsi="Arial" w:cs="Arial"/>
                <w:sz w:val="20"/>
                <w:szCs w:val="20"/>
              </w:rPr>
            </w:pPr>
            <w:r>
              <w:rPr>
                <w:rFonts w:ascii="Arial" w:hAnsi="Arial" w:cs="Arial"/>
                <w:sz w:val="20"/>
                <w:szCs w:val="20"/>
              </w:rPr>
              <w:t>23%</w:t>
            </w:r>
          </w:p>
        </w:tc>
      </w:tr>
      <w:tr w:rsidR="0004063A" w14:paraId="4113B875" w14:textId="77777777" w:rsidTr="002F7488">
        <w:tc>
          <w:tcPr>
            <w:tcW w:w="3823" w:type="dxa"/>
            <w:shd w:val="clear" w:color="auto" w:fill="FFC000"/>
          </w:tcPr>
          <w:p w14:paraId="210E7C0C" w14:textId="5D1A0872" w:rsidR="0004063A" w:rsidRDefault="0004063A" w:rsidP="008C2F28">
            <w:pPr>
              <w:rPr>
                <w:rFonts w:ascii="Arial" w:hAnsi="Arial" w:cs="Arial"/>
                <w:sz w:val="20"/>
                <w:szCs w:val="20"/>
              </w:rPr>
            </w:pPr>
            <w:r w:rsidRPr="0004063A">
              <w:rPr>
                <w:rFonts w:ascii="Arial" w:hAnsi="Arial" w:cs="Arial"/>
                <w:sz w:val="20"/>
                <w:szCs w:val="20"/>
              </w:rPr>
              <w:t>Display at the front of the store</w:t>
            </w:r>
          </w:p>
        </w:tc>
        <w:tc>
          <w:tcPr>
            <w:tcW w:w="850" w:type="dxa"/>
            <w:shd w:val="clear" w:color="auto" w:fill="FFC000"/>
          </w:tcPr>
          <w:p w14:paraId="43B9919B" w14:textId="6FED4CFF" w:rsidR="0004063A" w:rsidRDefault="00127869" w:rsidP="008C2F28">
            <w:pPr>
              <w:rPr>
                <w:rFonts w:ascii="Arial" w:hAnsi="Arial" w:cs="Arial"/>
                <w:sz w:val="20"/>
                <w:szCs w:val="20"/>
              </w:rPr>
            </w:pPr>
            <w:r>
              <w:rPr>
                <w:rFonts w:ascii="Arial" w:hAnsi="Arial" w:cs="Arial"/>
                <w:sz w:val="20"/>
                <w:szCs w:val="20"/>
              </w:rPr>
              <w:t>11%</w:t>
            </w:r>
          </w:p>
        </w:tc>
      </w:tr>
      <w:tr w:rsidR="0004063A" w14:paraId="063359D3" w14:textId="77777777" w:rsidTr="002F7488">
        <w:tc>
          <w:tcPr>
            <w:tcW w:w="3823" w:type="dxa"/>
            <w:shd w:val="clear" w:color="auto" w:fill="FFC000"/>
          </w:tcPr>
          <w:p w14:paraId="2C982F7B" w14:textId="5D52C286" w:rsidR="0004063A" w:rsidRDefault="0004063A" w:rsidP="008C2F28">
            <w:pPr>
              <w:rPr>
                <w:rFonts w:ascii="Arial" w:hAnsi="Arial" w:cs="Arial"/>
                <w:sz w:val="20"/>
                <w:szCs w:val="20"/>
              </w:rPr>
            </w:pPr>
            <w:r w:rsidRPr="0004063A">
              <w:rPr>
                <w:rFonts w:ascii="Arial" w:hAnsi="Arial" w:cs="Arial"/>
                <w:sz w:val="20"/>
                <w:szCs w:val="20"/>
              </w:rPr>
              <w:t>Display at the till</w:t>
            </w:r>
          </w:p>
        </w:tc>
        <w:tc>
          <w:tcPr>
            <w:tcW w:w="850" w:type="dxa"/>
            <w:shd w:val="clear" w:color="auto" w:fill="FFC000"/>
          </w:tcPr>
          <w:p w14:paraId="65624664" w14:textId="5AB470D2" w:rsidR="0004063A" w:rsidRDefault="00127869" w:rsidP="008C2F28">
            <w:pPr>
              <w:rPr>
                <w:rFonts w:ascii="Arial" w:hAnsi="Arial" w:cs="Arial"/>
                <w:sz w:val="20"/>
                <w:szCs w:val="20"/>
              </w:rPr>
            </w:pPr>
            <w:r>
              <w:rPr>
                <w:rFonts w:ascii="Arial" w:hAnsi="Arial" w:cs="Arial"/>
                <w:sz w:val="20"/>
                <w:szCs w:val="20"/>
              </w:rPr>
              <w:t>9%</w:t>
            </w:r>
          </w:p>
        </w:tc>
      </w:tr>
      <w:tr w:rsidR="0004063A" w14:paraId="6F06B330" w14:textId="77777777" w:rsidTr="002F7488">
        <w:tc>
          <w:tcPr>
            <w:tcW w:w="3823" w:type="dxa"/>
          </w:tcPr>
          <w:p w14:paraId="7B09B1EA" w14:textId="77557C27" w:rsidR="0004063A" w:rsidRDefault="0004063A" w:rsidP="008C2F28">
            <w:pPr>
              <w:rPr>
                <w:rFonts w:ascii="Arial" w:hAnsi="Arial" w:cs="Arial"/>
                <w:sz w:val="20"/>
                <w:szCs w:val="20"/>
              </w:rPr>
            </w:pPr>
            <w:r w:rsidRPr="0004063A">
              <w:rPr>
                <w:rFonts w:ascii="Arial" w:hAnsi="Arial" w:cs="Arial"/>
                <w:sz w:val="20"/>
                <w:szCs w:val="20"/>
              </w:rPr>
              <w:t>Free standing displays around the store</w:t>
            </w:r>
          </w:p>
        </w:tc>
        <w:tc>
          <w:tcPr>
            <w:tcW w:w="850" w:type="dxa"/>
          </w:tcPr>
          <w:p w14:paraId="3DFB5C0A" w14:textId="0E0C6E25" w:rsidR="0004063A" w:rsidRDefault="00127869" w:rsidP="008C2F28">
            <w:pPr>
              <w:rPr>
                <w:rFonts w:ascii="Arial" w:hAnsi="Arial" w:cs="Arial"/>
                <w:sz w:val="20"/>
                <w:szCs w:val="20"/>
              </w:rPr>
            </w:pPr>
            <w:r>
              <w:rPr>
                <w:rFonts w:ascii="Arial" w:hAnsi="Arial" w:cs="Arial"/>
                <w:sz w:val="20"/>
                <w:szCs w:val="20"/>
              </w:rPr>
              <w:t>5%</w:t>
            </w:r>
          </w:p>
        </w:tc>
      </w:tr>
      <w:tr w:rsidR="0004063A" w14:paraId="1599ED4F" w14:textId="77777777" w:rsidTr="002F7488">
        <w:tc>
          <w:tcPr>
            <w:tcW w:w="3823" w:type="dxa"/>
            <w:shd w:val="clear" w:color="auto" w:fill="FFC000"/>
          </w:tcPr>
          <w:p w14:paraId="6F15242F" w14:textId="153B8CBA" w:rsidR="0004063A" w:rsidRDefault="00127869" w:rsidP="008C2F28">
            <w:pPr>
              <w:rPr>
                <w:rFonts w:ascii="Arial" w:hAnsi="Arial" w:cs="Arial"/>
                <w:sz w:val="20"/>
                <w:szCs w:val="20"/>
              </w:rPr>
            </w:pPr>
            <w:r w:rsidRPr="00127869">
              <w:rPr>
                <w:rFonts w:ascii="Arial" w:hAnsi="Arial" w:cs="Arial"/>
                <w:sz w:val="20"/>
                <w:szCs w:val="20"/>
              </w:rPr>
              <w:t>Display within the queue system</w:t>
            </w:r>
          </w:p>
        </w:tc>
        <w:tc>
          <w:tcPr>
            <w:tcW w:w="850" w:type="dxa"/>
            <w:shd w:val="clear" w:color="auto" w:fill="FFC000"/>
          </w:tcPr>
          <w:p w14:paraId="191A00B5" w14:textId="6D8CA693" w:rsidR="0004063A" w:rsidRDefault="00127869" w:rsidP="008C2F28">
            <w:pPr>
              <w:rPr>
                <w:rFonts w:ascii="Arial" w:hAnsi="Arial" w:cs="Arial"/>
                <w:sz w:val="20"/>
                <w:szCs w:val="20"/>
              </w:rPr>
            </w:pPr>
            <w:r>
              <w:rPr>
                <w:rFonts w:ascii="Arial" w:hAnsi="Arial" w:cs="Arial"/>
                <w:sz w:val="20"/>
                <w:szCs w:val="20"/>
              </w:rPr>
              <w:t>3%</w:t>
            </w:r>
          </w:p>
        </w:tc>
      </w:tr>
      <w:tr w:rsidR="00127869" w14:paraId="28B12B2B" w14:textId="77777777" w:rsidTr="002F7488">
        <w:tc>
          <w:tcPr>
            <w:tcW w:w="3823" w:type="dxa"/>
          </w:tcPr>
          <w:p w14:paraId="2227DCC6" w14:textId="42500F07" w:rsidR="00127869" w:rsidRPr="00127869" w:rsidRDefault="00127869" w:rsidP="008C2F28">
            <w:pPr>
              <w:rPr>
                <w:rFonts w:ascii="Arial" w:hAnsi="Arial" w:cs="Arial"/>
                <w:sz w:val="20"/>
                <w:szCs w:val="20"/>
              </w:rPr>
            </w:pPr>
            <w:r w:rsidRPr="00127869">
              <w:rPr>
                <w:rFonts w:ascii="Arial" w:hAnsi="Arial" w:cs="Arial"/>
                <w:sz w:val="20"/>
                <w:szCs w:val="20"/>
              </w:rPr>
              <w:t>Don't know / Don't remember</w:t>
            </w:r>
          </w:p>
        </w:tc>
        <w:tc>
          <w:tcPr>
            <w:tcW w:w="850" w:type="dxa"/>
          </w:tcPr>
          <w:p w14:paraId="6E4D5B36" w14:textId="5BB08667" w:rsidR="00127869" w:rsidRDefault="00127869" w:rsidP="008C2F28">
            <w:pPr>
              <w:rPr>
                <w:rFonts w:ascii="Arial" w:hAnsi="Arial" w:cs="Arial"/>
                <w:sz w:val="20"/>
                <w:szCs w:val="20"/>
              </w:rPr>
            </w:pPr>
            <w:r>
              <w:rPr>
                <w:rFonts w:ascii="Arial" w:hAnsi="Arial" w:cs="Arial"/>
                <w:sz w:val="20"/>
                <w:szCs w:val="20"/>
              </w:rPr>
              <w:t>2%</w:t>
            </w:r>
          </w:p>
        </w:tc>
      </w:tr>
      <w:tr w:rsidR="00127869" w14:paraId="44671D5C" w14:textId="77777777" w:rsidTr="002F7488">
        <w:tc>
          <w:tcPr>
            <w:tcW w:w="3823" w:type="dxa"/>
          </w:tcPr>
          <w:p w14:paraId="0C9DA35B" w14:textId="61122694" w:rsidR="00127869" w:rsidRPr="00127869" w:rsidRDefault="00127869" w:rsidP="008C2F28">
            <w:pPr>
              <w:rPr>
                <w:rFonts w:ascii="Arial" w:hAnsi="Arial" w:cs="Arial"/>
                <w:sz w:val="20"/>
                <w:szCs w:val="20"/>
              </w:rPr>
            </w:pPr>
            <w:r w:rsidRPr="00127869">
              <w:rPr>
                <w:rFonts w:ascii="Arial" w:hAnsi="Arial" w:cs="Arial"/>
                <w:sz w:val="20"/>
                <w:szCs w:val="20"/>
              </w:rPr>
              <w:t>Other</w:t>
            </w:r>
          </w:p>
        </w:tc>
        <w:tc>
          <w:tcPr>
            <w:tcW w:w="850" w:type="dxa"/>
          </w:tcPr>
          <w:p w14:paraId="169099C0" w14:textId="730501C6" w:rsidR="00127869" w:rsidRDefault="00127869" w:rsidP="008C2F28">
            <w:pPr>
              <w:rPr>
                <w:rFonts w:ascii="Arial" w:hAnsi="Arial" w:cs="Arial"/>
                <w:sz w:val="20"/>
                <w:szCs w:val="20"/>
              </w:rPr>
            </w:pPr>
            <w:r>
              <w:rPr>
                <w:rFonts w:ascii="Arial" w:hAnsi="Arial" w:cs="Arial"/>
                <w:sz w:val="20"/>
                <w:szCs w:val="20"/>
              </w:rPr>
              <w:t>2%</w:t>
            </w:r>
          </w:p>
        </w:tc>
      </w:tr>
    </w:tbl>
    <w:p w14:paraId="5FC02BB4" w14:textId="77777777" w:rsidR="0004063A" w:rsidRDefault="0004063A" w:rsidP="008C2F28">
      <w:pPr>
        <w:rPr>
          <w:rFonts w:ascii="Arial" w:hAnsi="Arial" w:cs="Arial"/>
          <w:sz w:val="20"/>
          <w:szCs w:val="20"/>
        </w:rPr>
      </w:pPr>
    </w:p>
    <w:p w14:paraId="1B06B555" w14:textId="3014359A" w:rsidR="00587BAF" w:rsidRDefault="00C815A0" w:rsidP="008C2F28">
      <w:pPr>
        <w:rPr>
          <w:rFonts w:ascii="Arial" w:hAnsi="Arial" w:cs="Arial"/>
          <w:sz w:val="20"/>
          <w:szCs w:val="20"/>
        </w:rPr>
      </w:pPr>
      <w:r w:rsidRPr="00C815A0">
        <w:rPr>
          <w:rFonts w:ascii="Arial" w:hAnsi="Arial" w:cs="Arial"/>
          <w:sz w:val="20"/>
          <w:szCs w:val="20"/>
        </w:rPr>
        <w:t>Confectionery is at most risk with 50% of purchases made in HFSS restricted locations. The category over-indexes in key risk locations: display at the front of the store, display at the till, and display within the queue system. Soft drinks purchases are least impacted with 44% bought in restricted locations, however the category significantly over-indexes (+4 ppts) in aisle end purchases.</w:t>
      </w:r>
    </w:p>
    <w:p w14:paraId="125912EA" w14:textId="7FBCB5B8" w:rsidR="00C815A0" w:rsidRPr="000A3E78" w:rsidRDefault="000A3E78" w:rsidP="008C2F28">
      <w:pPr>
        <w:rPr>
          <w:rFonts w:ascii="Arial" w:hAnsi="Arial" w:cs="Arial"/>
          <w:b/>
          <w:bCs/>
        </w:rPr>
      </w:pPr>
      <w:r w:rsidRPr="000A3E78">
        <w:rPr>
          <w:rFonts w:ascii="Arial" w:hAnsi="Arial" w:cs="Arial"/>
          <w:b/>
          <w:bCs/>
        </w:rPr>
        <w:t xml:space="preserve">HFSS volume restrictions </w:t>
      </w:r>
      <w:r w:rsidR="00E36CE0">
        <w:rPr>
          <w:rFonts w:ascii="Arial" w:hAnsi="Arial" w:cs="Arial"/>
          <w:b/>
          <w:bCs/>
        </w:rPr>
        <w:t>could</w:t>
      </w:r>
      <w:r w:rsidRPr="000A3E78">
        <w:rPr>
          <w:rFonts w:ascii="Arial" w:hAnsi="Arial" w:cs="Arial"/>
          <w:b/>
          <w:bCs/>
        </w:rPr>
        <w:t xml:space="preserve"> impact 32% of</w:t>
      </w:r>
      <w:r w:rsidR="00CB3D1F">
        <w:rPr>
          <w:rFonts w:ascii="Arial" w:hAnsi="Arial" w:cs="Arial"/>
          <w:b/>
          <w:bCs/>
        </w:rPr>
        <w:t xml:space="preserve"> </w:t>
      </w:r>
      <w:r w:rsidR="00CB3D1F" w:rsidRPr="00CB3D1F">
        <w:rPr>
          <w:rFonts w:ascii="Arial" w:hAnsi="Arial" w:cs="Arial"/>
          <w:b/>
          <w:bCs/>
        </w:rPr>
        <w:t>Confectionery, Crisps and Snacks, and Soft Drink</w:t>
      </w:r>
      <w:r w:rsidRPr="000A3E78">
        <w:rPr>
          <w:rFonts w:ascii="Arial" w:hAnsi="Arial" w:cs="Arial"/>
          <w:b/>
          <w:bCs/>
        </w:rPr>
        <w:t xml:space="preserve"> purchase</w:t>
      </w:r>
      <w:r w:rsidR="00E36CE0">
        <w:rPr>
          <w:rFonts w:ascii="Arial" w:hAnsi="Arial" w:cs="Arial"/>
          <w:b/>
          <w:bCs/>
        </w:rPr>
        <w:t xml:space="preserve"> in convenience</w:t>
      </w:r>
      <w:r w:rsidR="002F7488">
        <w:rPr>
          <w:rFonts w:ascii="Arial" w:hAnsi="Arial" w:cs="Arial"/>
          <w:b/>
          <w:bCs/>
        </w:rPr>
        <w:t>**</w:t>
      </w:r>
    </w:p>
    <w:p w14:paraId="71E5B5D4" w14:textId="3ED30B8A" w:rsidR="00587BAF" w:rsidRDefault="00EC2E65" w:rsidP="008C2F28">
      <w:pPr>
        <w:rPr>
          <w:rFonts w:ascii="Arial" w:hAnsi="Arial" w:cs="Arial"/>
          <w:sz w:val="20"/>
          <w:szCs w:val="20"/>
        </w:rPr>
      </w:pPr>
      <w:r>
        <w:rPr>
          <w:rFonts w:ascii="Arial" w:hAnsi="Arial" w:cs="Arial"/>
          <w:sz w:val="20"/>
          <w:szCs w:val="20"/>
        </w:rPr>
        <w:t>For stores impacted, i</w:t>
      </w:r>
      <w:r w:rsidR="000A3E78" w:rsidRPr="000A3E78">
        <w:rPr>
          <w:rFonts w:ascii="Arial" w:hAnsi="Arial" w:cs="Arial"/>
          <w:sz w:val="20"/>
          <w:szCs w:val="20"/>
        </w:rPr>
        <w:t xml:space="preserve">ncreasing non-volume offers and introducing new promotional deals will be essential as 32% of HFSS category purchases </w:t>
      </w:r>
      <w:r>
        <w:rPr>
          <w:rFonts w:ascii="Arial" w:hAnsi="Arial" w:cs="Arial"/>
          <w:sz w:val="20"/>
          <w:szCs w:val="20"/>
        </w:rPr>
        <w:t xml:space="preserve">in convenience </w:t>
      </w:r>
      <w:r w:rsidR="000A3E78" w:rsidRPr="000A3E78">
        <w:rPr>
          <w:rFonts w:ascii="Arial" w:hAnsi="Arial" w:cs="Arial"/>
          <w:sz w:val="20"/>
          <w:szCs w:val="20"/>
        </w:rPr>
        <w:t xml:space="preserve">are made on multi-buy and buy one get one free </w:t>
      </w:r>
      <w:proofErr w:type="gramStart"/>
      <w:r w:rsidR="000A3E78" w:rsidRPr="000A3E78">
        <w:rPr>
          <w:rFonts w:ascii="Arial" w:hAnsi="Arial" w:cs="Arial"/>
          <w:sz w:val="20"/>
          <w:szCs w:val="20"/>
        </w:rPr>
        <w:t>promotions</w:t>
      </w:r>
      <w:proofErr w:type="gramEnd"/>
      <w:r w:rsidR="000A3E78" w:rsidRPr="000A3E78">
        <w:rPr>
          <w:rFonts w:ascii="Arial" w:hAnsi="Arial" w:cs="Arial"/>
          <w:sz w:val="20"/>
          <w:szCs w:val="20"/>
        </w:rPr>
        <w:t>.</w:t>
      </w:r>
      <w:r w:rsidR="000A3E78">
        <w:rPr>
          <w:rFonts w:ascii="Arial" w:hAnsi="Arial" w:cs="Arial"/>
          <w:sz w:val="20"/>
          <w:szCs w:val="20"/>
        </w:rPr>
        <w:t xml:space="preserve"> Here is the breakdown of HFSS purchases by promotion type (areas set to be restricted highlighted in yellow):</w:t>
      </w:r>
    </w:p>
    <w:tbl>
      <w:tblPr>
        <w:tblStyle w:val="TableGrid"/>
        <w:tblW w:w="0" w:type="auto"/>
        <w:tblLook w:val="04A0" w:firstRow="1" w:lastRow="0" w:firstColumn="1" w:lastColumn="0" w:noHBand="0" w:noVBand="1"/>
      </w:tblPr>
      <w:tblGrid>
        <w:gridCol w:w="4508"/>
        <w:gridCol w:w="874"/>
      </w:tblGrid>
      <w:tr w:rsidR="000A3E78" w14:paraId="034C87B0" w14:textId="77777777" w:rsidTr="002F7488">
        <w:tc>
          <w:tcPr>
            <w:tcW w:w="4508" w:type="dxa"/>
          </w:tcPr>
          <w:p w14:paraId="4F647C1C" w14:textId="7A4E3D04" w:rsidR="000A3E78" w:rsidRDefault="000A3E78" w:rsidP="008C2F28">
            <w:pPr>
              <w:rPr>
                <w:rFonts w:ascii="Arial" w:hAnsi="Arial" w:cs="Arial"/>
                <w:sz w:val="20"/>
                <w:szCs w:val="20"/>
              </w:rPr>
            </w:pPr>
            <w:r w:rsidRPr="000A3E78">
              <w:rPr>
                <w:rFonts w:ascii="Arial" w:hAnsi="Arial" w:cs="Arial"/>
                <w:sz w:val="20"/>
                <w:szCs w:val="20"/>
              </w:rPr>
              <w:t>Percentage off, e.g. 20% off</w:t>
            </w:r>
          </w:p>
        </w:tc>
        <w:tc>
          <w:tcPr>
            <w:tcW w:w="874" w:type="dxa"/>
          </w:tcPr>
          <w:p w14:paraId="5CFA2439" w14:textId="3108AAC3" w:rsidR="000A3E78" w:rsidRDefault="002F7488" w:rsidP="008C2F28">
            <w:pPr>
              <w:rPr>
                <w:rFonts w:ascii="Arial" w:hAnsi="Arial" w:cs="Arial"/>
                <w:sz w:val="20"/>
                <w:szCs w:val="20"/>
              </w:rPr>
            </w:pPr>
            <w:r>
              <w:rPr>
                <w:rFonts w:ascii="Arial" w:hAnsi="Arial" w:cs="Arial"/>
                <w:sz w:val="20"/>
                <w:szCs w:val="20"/>
              </w:rPr>
              <w:t>21%</w:t>
            </w:r>
          </w:p>
        </w:tc>
      </w:tr>
      <w:tr w:rsidR="000A3E78" w14:paraId="2A74564C" w14:textId="77777777" w:rsidTr="002F7488">
        <w:tc>
          <w:tcPr>
            <w:tcW w:w="4508" w:type="dxa"/>
            <w:shd w:val="clear" w:color="auto" w:fill="FFC000"/>
          </w:tcPr>
          <w:p w14:paraId="29FE0A69" w14:textId="6523A932" w:rsidR="000A3E78" w:rsidRDefault="000A3E78" w:rsidP="008C2F28">
            <w:pPr>
              <w:rPr>
                <w:rFonts w:ascii="Arial" w:hAnsi="Arial" w:cs="Arial"/>
                <w:sz w:val="20"/>
                <w:szCs w:val="20"/>
              </w:rPr>
            </w:pPr>
            <w:r w:rsidRPr="000A3E78">
              <w:rPr>
                <w:rFonts w:ascii="Arial" w:hAnsi="Arial" w:cs="Arial"/>
                <w:sz w:val="20"/>
                <w:szCs w:val="20"/>
              </w:rPr>
              <w:t>Multi-buy, e.g. buy two for one, buy two for £5</w:t>
            </w:r>
          </w:p>
        </w:tc>
        <w:tc>
          <w:tcPr>
            <w:tcW w:w="874" w:type="dxa"/>
            <w:shd w:val="clear" w:color="auto" w:fill="FFC000"/>
          </w:tcPr>
          <w:p w14:paraId="11E21CB7" w14:textId="682FAE21" w:rsidR="000A3E78" w:rsidRDefault="002F7488" w:rsidP="008C2F28">
            <w:pPr>
              <w:rPr>
                <w:rFonts w:ascii="Arial" w:hAnsi="Arial" w:cs="Arial"/>
                <w:sz w:val="20"/>
                <w:szCs w:val="20"/>
              </w:rPr>
            </w:pPr>
            <w:r>
              <w:rPr>
                <w:rFonts w:ascii="Arial" w:hAnsi="Arial" w:cs="Arial"/>
                <w:sz w:val="20"/>
                <w:szCs w:val="20"/>
              </w:rPr>
              <w:t>20%</w:t>
            </w:r>
          </w:p>
        </w:tc>
      </w:tr>
      <w:tr w:rsidR="000A3E78" w14:paraId="63DC5B5D" w14:textId="77777777" w:rsidTr="002F7488">
        <w:tc>
          <w:tcPr>
            <w:tcW w:w="4508" w:type="dxa"/>
          </w:tcPr>
          <w:p w14:paraId="4C1F75D4" w14:textId="1EF755ED" w:rsidR="000A3E78" w:rsidRDefault="000A3E78" w:rsidP="008C2F28">
            <w:pPr>
              <w:rPr>
                <w:rFonts w:ascii="Arial" w:hAnsi="Arial" w:cs="Arial"/>
                <w:sz w:val="20"/>
                <w:szCs w:val="20"/>
              </w:rPr>
            </w:pPr>
            <w:r w:rsidRPr="000A3E78">
              <w:rPr>
                <w:rFonts w:ascii="Arial" w:hAnsi="Arial" w:cs="Arial"/>
                <w:sz w:val="20"/>
                <w:szCs w:val="20"/>
              </w:rPr>
              <w:t>Meal deal</w:t>
            </w:r>
          </w:p>
        </w:tc>
        <w:tc>
          <w:tcPr>
            <w:tcW w:w="874" w:type="dxa"/>
          </w:tcPr>
          <w:p w14:paraId="6DF82625" w14:textId="11C01E79" w:rsidR="000A3E78" w:rsidRDefault="002F7488" w:rsidP="008C2F28">
            <w:pPr>
              <w:rPr>
                <w:rFonts w:ascii="Arial" w:hAnsi="Arial" w:cs="Arial"/>
                <w:sz w:val="20"/>
                <w:szCs w:val="20"/>
              </w:rPr>
            </w:pPr>
            <w:r>
              <w:rPr>
                <w:rFonts w:ascii="Arial" w:hAnsi="Arial" w:cs="Arial"/>
                <w:sz w:val="20"/>
                <w:szCs w:val="20"/>
              </w:rPr>
              <w:t>16%</w:t>
            </w:r>
          </w:p>
        </w:tc>
      </w:tr>
      <w:tr w:rsidR="000A3E78" w14:paraId="36EAEC45" w14:textId="77777777" w:rsidTr="002F7488">
        <w:tc>
          <w:tcPr>
            <w:tcW w:w="4508" w:type="dxa"/>
            <w:shd w:val="clear" w:color="auto" w:fill="FFC000"/>
          </w:tcPr>
          <w:p w14:paraId="17A9FDCB" w14:textId="0E64466C" w:rsidR="000A3E78" w:rsidRDefault="000A3E78" w:rsidP="008C2F28">
            <w:pPr>
              <w:rPr>
                <w:rFonts w:ascii="Arial" w:hAnsi="Arial" w:cs="Arial"/>
                <w:sz w:val="20"/>
                <w:szCs w:val="20"/>
              </w:rPr>
            </w:pPr>
            <w:r w:rsidRPr="000A3E78">
              <w:rPr>
                <w:rFonts w:ascii="Arial" w:hAnsi="Arial" w:cs="Arial"/>
                <w:sz w:val="20"/>
                <w:szCs w:val="20"/>
              </w:rPr>
              <w:t>Buy one get one free</w:t>
            </w:r>
          </w:p>
        </w:tc>
        <w:tc>
          <w:tcPr>
            <w:tcW w:w="874" w:type="dxa"/>
            <w:shd w:val="clear" w:color="auto" w:fill="FFC000"/>
          </w:tcPr>
          <w:p w14:paraId="6F7A03A6" w14:textId="1112ED80" w:rsidR="000A3E78" w:rsidRDefault="002F7488" w:rsidP="008C2F28">
            <w:pPr>
              <w:rPr>
                <w:rFonts w:ascii="Arial" w:hAnsi="Arial" w:cs="Arial"/>
                <w:sz w:val="20"/>
                <w:szCs w:val="20"/>
              </w:rPr>
            </w:pPr>
            <w:r>
              <w:rPr>
                <w:rFonts w:ascii="Arial" w:hAnsi="Arial" w:cs="Arial"/>
                <w:sz w:val="20"/>
                <w:szCs w:val="20"/>
              </w:rPr>
              <w:t>11%</w:t>
            </w:r>
          </w:p>
        </w:tc>
      </w:tr>
      <w:tr w:rsidR="000A3E78" w14:paraId="11D70C9E" w14:textId="77777777" w:rsidTr="002F7488">
        <w:tc>
          <w:tcPr>
            <w:tcW w:w="4508" w:type="dxa"/>
            <w:shd w:val="clear" w:color="auto" w:fill="FFC000"/>
          </w:tcPr>
          <w:p w14:paraId="6D76DB5F" w14:textId="55C505AF" w:rsidR="000A3E78" w:rsidRDefault="002F7488" w:rsidP="008C2F28">
            <w:pPr>
              <w:rPr>
                <w:rFonts w:ascii="Arial" w:hAnsi="Arial" w:cs="Arial"/>
                <w:sz w:val="20"/>
                <w:szCs w:val="20"/>
              </w:rPr>
            </w:pPr>
            <w:r w:rsidRPr="002F7488">
              <w:rPr>
                <w:rFonts w:ascii="Arial" w:hAnsi="Arial" w:cs="Arial"/>
                <w:sz w:val="20"/>
                <w:szCs w:val="20"/>
              </w:rPr>
              <w:t>Bundle deal, e.g. beer &amp; pizza for £10</w:t>
            </w:r>
          </w:p>
        </w:tc>
        <w:tc>
          <w:tcPr>
            <w:tcW w:w="874" w:type="dxa"/>
            <w:shd w:val="clear" w:color="auto" w:fill="FFC000"/>
          </w:tcPr>
          <w:p w14:paraId="03CAB038" w14:textId="74421221" w:rsidR="000A3E78" w:rsidRDefault="002F7488" w:rsidP="008C2F28">
            <w:pPr>
              <w:rPr>
                <w:rFonts w:ascii="Arial" w:hAnsi="Arial" w:cs="Arial"/>
                <w:sz w:val="20"/>
                <w:szCs w:val="20"/>
              </w:rPr>
            </w:pPr>
            <w:r>
              <w:rPr>
                <w:rFonts w:ascii="Arial" w:hAnsi="Arial" w:cs="Arial"/>
                <w:sz w:val="20"/>
                <w:szCs w:val="20"/>
              </w:rPr>
              <w:t>1%</w:t>
            </w:r>
          </w:p>
        </w:tc>
      </w:tr>
    </w:tbl>
    <w:p w14:paraId="26BD49E0" w14:textId="77777777" w:rsidR="000A3E78" w:rsidRDefault="000A3E78" w:rsidP="008C2F28">
      <w:pPr>
        <w:rPr>
          <w:rFonts w:ascii="Arial" w:hAnsi="Arial" w:cs="Arial"/>
          <w:sz w:val="20"/>
          <w:szCs w:val="20"/>
        </w:rPr>
      </w:pPr>
    </w:p>
    <w:p w14:paraId="4EE25D05" w14:textId="31CE1C28" w:rsidR="002F7488" w:rsidRDefault="002F7488" w:rsidP="00926667">
      <w:pPr>
        <w:rPr>
          <w:rFonts w:ascii="Arial" w:hAnsi="Arial" w:cs="Arial"/>
          <w:i/>
          <w:iCs/>
          <w:sz w:val="20"/>
          <w:szCs w:val="20"/>
        </w:rPr>
      </w:pPr>
      <w:r>
        <w:rPr>
          <w:rFonts w:ascii="Arial" w:hAnsi="Arial" w:cs="Arial"/>
          <w:sz w:val="20"/>
          <w:szCs w:val="20"/>
        </w:rPr>
        <w:t>Commenting on the findings, Bl</w:t>
      </w:r>
      <w:r w:rsidR="00AA7134">
        <w:rPr>
          <w:rFonts w:ascii="Arial" w:hAnsi="Arial" w:cs="Arial"/>
          <w:sz w:val="20"/>
          <w:szCs w:val="20"/>
        </w:rPr>
        <w:t>onnie Whist, Insight Director at Lumina Intelligence</w:t>
      </w:r>
      <w:r w:rsidR="00AA7134" w:rsidRPr="007446FD">
        <w:rPr>
          <w:rFonts w:ascii="Arial" w:hAnsi="Arial" w:cs="Arial"/>
          <w:sz w:val="20"/>
          <w:szCs w:val="20"/>
        </w:rPr>
        <w:t xml:space="preserve"> sa</w:t>
      </w:r>
      <w:r w:rsidR="00AA7134">
        <w:rPr>
          <w:rFonts w:ascii="Arial" w:hAnsi="Arial" w:cs="Arial"/>
          <w:sz w:val="20"/>
          <w:szCs w:val="20"/>
        </w:rPr>
        <w:t>id</w:t>
      </w:r>
      <w:r w:rsidR="00AA7134" w:rsidRPr="007446FD">
        <w:rPr>
          <w:rFonts w:ascii="Arial" w:hAnsi="Arial" w:cs="Arial"/>
          <w:sz w:val="20"/>
          <w:szCs w:val="20"/>
        </w:rPr>
        <w:t xml:space="preserve">, </w:t>
      </w:r>
      <w:r w:rsidR="00AA7134" w:rsidRPr="00AA7134">
        <w:rPr>
          <w:rFonts w:ascii="Arial" w:hAnsi="Arial" w:cs="Arial"/>
          <w:i/>
          <w:iCs/>
          <w:sz w:val="20"/>
          <w:szCs w:val="20"/>
        </w:rPr>
        <w:t>“</w:t>
      </w:r>
      <w:r>
        <w:rPr>
          <w:rFonts w:ascii="Arial" w:hAnsi="Arial" w:cs="Arial"/>
          <w:i/>
          <w:iCs/>
          <w:sz w:val="20"/>
          <w:szCs w:val="20"/>
        </w:rPr>
        <w:t>HFSS regulations continue to divide both consumers and businesses. Whilst most think that action is necessary, many believe that the current legislation will be ineffective. Just four-in-ten consumers believe the legislation will be effective in tackling unhealthy eating.</w:t>
      </w:r>
      <w:r w:rsidR="00E03214">
        <w:rPr>
          <w:rFonts w:ascii="Arial" w:hAnsi="Arial" w:cs="Arial"/>
          <w:i/>
          <w:iCs/>
          <w:sz w:val="20"/>
          <w:szCs w:val="20"/>
        </w:rPr>
        <w:t xml:space="preserve"> This is evident with </w:t>
      </w:r>
      <w:proofErr w:type="gramStart"/>
      <w:r w:rsidR="00E03214">
        <w:rPr>
          <w:rFonts w:ascii="Arial" w:hAnsi="Arial" w:cs="Arial"/>
          <w:i/>
          <w:iCs/>
          <w:sz w:val="20"/>
          <w:szCs w:val="20"/>
        </w:rPr>
        <w:t>the majority of</w:t>
      </w:r>
      <w:proofErr w:type="gramEnd"/>
      <w:r w:rsidR="00E03214">
        <w:rPr>
          <w:rFonts w:ascii="Arial" w:hAnsi="Arial" w:cs="Arial"/>
          <w:i/>
          <w:iCs/>
          <w:sz w:val="20"/>
          <w:szCs w:val="20"/>
        </w:rPr>
        <w:t xml:space="preserve"> consumers indicating that they will continue to purchase HFSS products despite restricted promotions.”</w:t>
      </w:r>
    </w:p>
    <w:p w14:paraId="4B1AE799" w14:textId="31DDBB33" w:rsidR="00E03214" w:rsidRDefault="00E03214" w:rsidP="00926667">
      <w:pPr>
        <w:rPr>
          <w:rFonts w:ascii="Arial" w:hAnsi="Arial" w:cs="Arial"/>
          <w:i/>
          <w:iCs/>
          <w:sz w:val="20"/>
          <w:szCs w:val="20"/>
        </w:rPr>
      </w:pPr>
      <w:r>
        <w:rPr>
          <w:rFonts w:ascii="Arial" w:hAnsi="Arial" w:cs="Arial"/>
          <w:i/>
          <w:iCs/>
          <w:sz w:val="20"/>
          <w:szCs w:val="20"/>
        </w:rPr>
        <w:t xml:space="preserve">“Although consumer appetite for HFSS products remains, retailers are going to have to think hard about merchandising and promotions. Nearly half of all HFSS products purchased are picked up from areas </w:t>
      </w:r>
      <w:r w:rsidR="00E53766">
        <w:rPr>
          <w:rFonts w:ascii="Arial" w:hAnsi="Arial" w:cs="Arial"/>
          <w:i/>
          <w:iCs/>
          <w:sz w:val="20"/>
          <w:szCs w:val="20"/>
        </w:rPr>
        <w:t>set to be restricted and 32% are purchased as part of promotions set to be restricted</w:t>
      </w:r>
      <w:r w:rsidR="00946AA5">
        <w:rPr>
          <w:rFonts w:ascii="Arial" w:hAnsi="Arial" w:cs="Arial"/>
          <w:i/>
          <w:iCs/>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16BCAB63" w14:textId="08955722" w:rsidR="007016FA" w:rsidRDefault="00C658B3" w:rsidP="005846BE">
      <w:pPr>
        <w:pStyle w:val="ListParagraph"/>
        <w:numPr>
          <w:ilvl w:val="0"/>
          <w:numId w:val="12"/>
        </w:numPr>
        <w:rPr>
          <w:rFonts w:ascii="Arial" w:hAnsi="Arial" w:cs="Arial"/>
          <w:sz w:val="20"/>
          <w:szCs w:val="20"/>
        </w:rPr>
      </w:pPr>
      <w:r>
        <w:rPr>
          <w:rFonts w:ascii="Arial" w:hAnsi="Arial" w:cs="Arial"/>
          <w:sz w:val="20"/>
          <w:szCs w:val="20"/>
        </w:rPr>
        <w:t>*</w:t>
      </w:r>
      <w:r w:rsidRPr="00C658B3">
        <w:rPr>
          <w:rFonts w:ascii="Arial" w:hAnsi="Arial" w:cs="Arial"/>
          <w:sz w:val="20"/>
          <w:szCs w:val="20"/>
        </w:rPr>
        <w:t>Lumina Intelligence Channel Pulse, September 2021</w:t>
      </w:r>
      <w:r>
        <w:rPr>
          <w:rFonts w:ascii="Arial" w:hAnsi="Arial" w:cs="Arial"/>
          <w:sz w:val="20"/>
          <w:szCs w:val="20"/>
        </w:rPr>
        <w:t xml:space="preserve"> – survey of 1,000 consumers</w:t>
      </w:r>
    </w:p>
    <w:p w14:paraId="643C6241" w14:textId="4875288E" w:rsidR="0004063A" w:rsidRPr="007016FA" w:rsidRDefault="0004063A" w:rsidP="005846BE">
      <w:pPr>
        <w:pStyle w:val="ListParagraph"/>
        <w:numPr>
          <w:ilvl w:val="0"/>
          <w:numId w:val="12"/>
        </w:numPr>
        <w:rPr>
          <w:rFonts w:ascii="Arial" w:hAnsi="Arial" w:cs="Arial"/>
          <w:sz w:val="20"/>
          <w:szCs w:val="20"/>
        </w:rPr>
      </w:pPr>
      <w:r>
        <w:rPr>
          <w:rFonts w:ascii="Arial" w:hAnsi="Arial" w:cs="Arial"/>
          <w:sz w:val="20"/>
          <w:szCs w:val="20"/>
        </w:rPr>
        <w:t>**</w:t>
      </w:r>
      <w:r w:rsidRPr="0004063A">
        <w:rPr>
          <w:rFonts w:ascii="Arial" w:hAnsi="Arial" w:cs="Arial"/>
          <w:sz w:val="20"/>
          <w:szCs w:val="20"/>
        </w:rPr>
        <w:t xml:space="preserve"> Lumina Intelligence Convenience Tracking Programme; Total HFSS = Confectionery, Crisps and Snacks, and Soft Drinks</w:t>
      </w:r>
    </w:p>
    <w:p w14:paraId="4CEA97D8" w14:textId="3496C2D1" w:rsidR="00ED3ABD" w:rsidRPr="002969DB" w:rsidRDefault="00ED3ABD" w:rsidP="00431F84">
      <w:pPr>
        <w:rPr>
          <w:rFonts w:ascii="Arial" w:hAnsi="Arial" w:cs="Arial"/>
          <w:b/>
          <w:bCs/>
          <w:sz w:val="20"/>
          <w:szCs w:val="20"/>
        </w:rPr>
      </w:pPr>
      <w:r w:rsidRPr="002969DB">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EC2E65"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3026C"/>
    <w:multiLevelType w:val="hybridMultilevel"/>
    <w:tmpl w:val="1F0E9F8E"/>
    <w:lvl w:ilvl="0" w:tplc="08090001">
      <w:start w:val="1"/>
      <w:numFmt w:val="bullet"/>
      <w:lvlText w:val=""/>
      <w:lvlJc w:val="left"/>
      <w:pPr>
        <w:ind w:left="720" w:hanging="360"/>
      </w:pPr>
      <w:rPr>
        <w:rFonts w:ascii="Symbol" w:hAnsi="Symbol" w:hint="default"/>
      </w:rPr>
    </w:lvl>
    <w:lvl w:ilvl="1" w:tplc="CB9CD91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E695B"/>
    <w:multiLevelType w:val="hybridMultilevel"/>
    <w:tmpl w:val="179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D3A7F"/>
    <w:multiLevelType w:val="hybridMultilevel"/>
    <w:tmpl w:val="C202511A"/>
    <w:lvl w:ilvl="0" w:tplc="51CEBC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B5E62"/>
    <w:multiLevelType w:val="hybridMultilevel"/>
    <w:tmpl w:val="3C68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F26A30"/>
    <w:multiLevelType w:val="hybridMultilevel"/>
    <w:tmpl w:val="F272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2"/>
  </w:num>
  <w:num w:numId="6">
    <w:abstractNumId w:val="7"/>
  </w:num>
  <w:num w:numId="7">
    <w:abstractNumId w:val="5"/>
  </w:num>
  <w:num w:numId="8">
    <w:abstractNumId w:val="1"/>
  </w:num>
  <w:num w:numId="9">
    <w:abstractNumId w:val="3"/>
  </w:num>
  <w:num w:numId="10">
    <w:abstractNumId w:val="1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063A"/>
    <w:rsid w:val="00040E11"/>
    <w:rsid w:val="00043467"/>
    <w:rsid w:val="00053386"/>
    <w:rsid w:val="00072404"/>
    <w:rsid w:val="000809E0"/>
    <w:rsid w:val="000A3E78"/>
    <w:rsid w:val="000F1972"/>
    <w:rsid w:val="00107E2B"/>
    <w:rsid w:val="00113451"/>
    <w:rsid w:val="00116246"/>
    <w:rsid w:val="001249C3"/>
    <w:rsid w:val="00127869"/>
    <w:rsid w:val="00175522"/>
    <w:rsid w:val="00195F54"/>
    <w:rsid w:val="001A3D4E"/>
    <w:rsid w:val="001B4C07"/>
    <w:rsid w:val="001C50C1"/>
    <w:rsid w:val="001C5B98"/>
    <w:rsid w:val="001C65B6"/>
    <w:rsid w:val="001C7BF1"/>
    <w:rsid w:val="001D4D35"/>
    <w:rsid w:val="00214D95"/>
    <w:rsid w:val="00216F72"/>
    <w:rsid w:val="00240CAC"/>
    <w:rsid w:val="00261F91"/>
    <w:rsid w:val="00293E81"/>
    <w:rsid w:val="002969DB"/>
    <w:rsid w:val="002A0F0F"/>
    <w:rsid w:val="002B0A8F"/>
    <w:rsid w:val="002E0E69"/>
    <w:rsid w:val="002E22C9"/>
    <w:rsid w:val="002E4CA2"/>
    <w:rsid w:val="002E55A7"/>
    <w:rsid w:val="002E7454"/>
    <w:rsid w:val="002F089D"/>
    <w:rsid w:val="002F0BB4"/>
    <w:rsid w:val="002F7488"/>
    <w:rsid w:val="002F7EAF"/>
    <w:rsid w:val="00302E10"/>
    <w:rsid w:val="00341C49"/>
    <w:rsid w:val="003421BA"/>
    <w:rsid w:val="0035216F"/>
    <w:rsid w:val="00363346"/>
    <w:rsid w:val="003C4BB2"/>
    <w:rsid w:val="003D6B04"/>
    <w:rsid w:val="003D71D8"/>
    <w:rsid w:val="003E204B"/>
    <w:rsid w:val="0041755B"/>
    <w:rsid w:val="00431F84"/>
    <w:rsid w:val="00443710"/>
    <w:rsid w:val="0044412F"/>
    <w:rsid w:val="004802AE"/>
    <w:rsid w:val="004B3902"/>
    <w:rsid w:val="004D23F6"/>
    <w:rsid w:val="004E551E"/>
    <w:rsid w:val="004F1FF8"/>
    <w:rsid w:val="00534F71"/>
    <w:rsid w:val="00550B08"/>
    <w:rsid w:val="0055150D"/>
    <w:rsid w:val="00553497"/>
    <w:rsid w:val="00566CAE"/>
    <w:rsid w:val="00571A57"/>
    <w:rsid w:val="00587BAF"/>
    <w:rsid w:val="005B08AB"/>
    <w:rsid w:val="005B7E51"/>
    <w:rsid w:val="005F1DBE"/>
    <w:rsid w:val="00604945"/>
    <w:rsid w:val="00604B4A"/>
    <w:rsid w:val="0061620B"/>
    <w:rsid w:val="00633F06"/>
    <w:rsid w:val="006400D6"/>
    <w:rsid w:val="00645FB9"/>
    <w:rsid w:val="0064772D"/>
    <w:rsid w:val="006562DA"/>
    <w:rsid w:val="006577A4"/>
    <w:rsid w:val="00664850"/>
    <w:rsid w:val="00682AF8"/>
    <w:rsid w:val="00691E88"/>
    <w:rsid w:val="006D6A78"/>
    <w:rsid w:val="006D76E4"/>
    <w:rsid w:val="006E609E"/>
    <w:rsid w:val="006E79FF"/>
    <w:rsid w:val="006F25AF"/>
    <w:rsid w:val="006F447C"/>
    <w:rsid w:val="007016FA"/>
    <w:rsid w:val="00720ABB"/>
    <w:rsid w:val="007221DF"/>
    <w:rsid w:val="007229E3"/>
    <w:rsid w:val="007402DC"/>
    <w:rsid w:val="007446FD"/>
    <w:rsid w:val="00754A12"/>
    <w:rsid w:val="00755025"/>
    <w:rsid w:val="0076037A"/>
    <w:rsid w:val="007854AB"/>
    <w:rsid w:val="00791374"/>
    <w:rsid w:val="007A50F0"/>
    <w:rsid w:val="007B0605"/>
    <w:rsid w:val="007C2AE1"/>
    <w:rsid w:val="007D197C"/>
    <w:rsid w:val="007F2D85"/>
    <w:rsid w:val="007F3C85"/>
    <w:rsid w:val="00813785"/>
    <w:rsid w:val="008249B4"/>
    <w:rsid w:val="008276B8"/>
    <w:rsid w:val="00846DDB"/>
    <w:rsid w:val="008542FE"/>
    <w:rsid w:val="00862CCB"/>
    <w:rsid w:val="00882EC4"/>
    <w:rsid w:val="00886235"/>
    <w:rsid w:val="008A46AD"/>
    <w:rsid w:val="008C2F28"/>
    <w:rsid w:val="008D4655"/>
    <w:rsid w:val="008D5C4F"/>
    <w:rsid w:val="008E1A01"/>
    <w:rsid w:val="008E317A"/>
    <w:rsid w:val="008E5A63"/>
    <w:rsid w:val="00906032"/>
    <w:rsid w:val="00926667"/>
    <w:rsid w:val="00946AA5"/>
    <w:rsid w:val="009A6775"/>
    <w:rsid w:val="009B45B4"/>
    <w:rsid w:val="009C3668"/>
    <w:rsid w:val="009C613A"/>
    <w:rsid w:val="009D1543"/>
    <w:rsid w:val="00A06C38"/>
    <w:rsid w:val="00A63BE9"/>
    <w:rsid w:val="00A70FE3"/>
    <w:rsid w:val="00A85C10"/>
    <w:rsid w:val="00A935A1"/>
    <w:rsid w:val="00AA4D4A"/>
    <w:rsid w:val="00AA7134"/>
    <w:rsid w:val="00AD236E"/>
    <w:rsid w:val="00AE6B2F"/>
    <w:rsid w:val="00B06987"/>
    <w:rsid w:val="00B06B5C"/>
    <w:rsid w:val="00B414CE"/>
    <w:rsid w:val="00B46E6F"/>
    <w:rsid w:val="00B54F43"/>
    <w:rsid w:val="00B708BC"/>
    <w:rsid w:val="00B833AA"/>
    <w:rsid w:val="00B94423"/>
    <w:rsid w:val="00B97D12"/>
    <w:rsid w:val="00BB4747"/>
    <w:rsid w:val="00BC71E9"/>
    <w:rsid w:val="00BE0091"/>
    <w:rsid w:val="00BF2008"/>
    <w:rsid w:val="00C11CF0"/>
    <w:rsid w:val="00C16ADB"/>
    <w:rsid w:val="00C270FD"/>
    <w:rsid w:val="00C30C1F"/>
    <w:rsid w:val="00C4785A"/>
    <w:rsid w:val="00C545F0"/>
    <w:rsid w:val="00C55E00"/>
    <w:rsid w:val="00C658B3"/>
    <w:rsid w:val="00C77C17"/>
    <w:rsid w:val="00C815A0"/>
    <w:rsid w:val="00C86028"/>
    <w:rsid w:val="00CA6670"/>
    <w:rsid w:val="00CB3D1F"/>
    <w:rsid w:val="00CE6B8A"/>
    <w:rsid w:val="00CF3A3C"/>
    <w:rsid w:val="00D25202"/>
    <w:rsid w:val="00D308D1"/>
    <w:rsid w:val="00D419B6"/>
    <w:rsid w:val="00D7181B"/>
    <w:rsid w:val="00DB062C"/>
    <w:rsid w:val="00DD63F8"/>
    <w:rsid w:val="00DE5025"/>
    <w:rsid w:val="00E03214"/>
    <w:rsid w:val="00E214AC"/>
    <w:rsid w:val="00E36CE0"/>
    <w:rsid w:val="00E53766"/>
    <w:rsid w:val="00E56A95"/>
    <w:rsid w:val="00E71142"/>
    <w:rsid w:val="00E72427"/>
    <w:rsid w:val="00E734FF"/>
    <w:rsid w:val="00E800EF"/>
    <w:rsid w:val="00EA1B39"/>
    <w:rsid w:val="00EC2E65"/>
    <w:rsid w:val="00ED2C5E"/>
    <w:rsid w:val="00ED3ABD"/>
    <w:rsid w:val="00EE267B"/>
    <w:rsid w:val="00EE28D1"/>
    <w:rsid w:val="00EF7048"/>
    <w:rsid w:val="00F10F0C"/>
    <w:rsid w:val="00F16921"/>
    <w:rsid w:val="00F20D39"/>
    <w:rsid w:val="00F7137D"/>
    <w:rsid w:val="00F744AB"/>
    <w:rsid w:val="00F92E83"/>
    <w:rsid w:val="00FB2C7F"/>
    <w:rsid w:val="00FC1A9F"/>
    <w:rsid w:val="00FD63AF"/>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E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10299">
      <w:bodyDiv w:val="1"/>
      <w:marLeft w:val="0"/>
      <w:marRight w:val="0"/>
      <w:marTop w:val="0"/>
      <w:marBottom w:val="0"/>
      <w:divBdr>
        <w:top w:val="none" w:sz="0" w:space="0" w:color="auto"/>
        <w:left w:val="none" w:sz="0" w:space="0" w:color="auto"/>
        <w:bottom w:val="none" w:sz="0" w:space="0" w:color="auto"/>
        <w:right w:val="none" w:sz="0" w:space="0" w:color="auto"/>
      </w:divBdr>
      <w:divsChild>
        <w:div w:id="1953904030">
          <w:marLeft w:val="446"/>
          <w:marRight w:val="0"/>
          <w:marTop w:val="200"/>
          <w:marBottom w:val="0"/>
          <w:divBdr>
            <w:top w:val="none" w:sz="0" w:space="0" w:color="auto"/>
            <w:left w:val="none" w:sz="0" w:space="0" w:color="auto"/>
            <w:bottom w:val="none" w:sz="0" w:space="0" w:color="auto"/>
            <w:right w:val="none" w:sz="0" w:space="0" w:color="auto"/>
          </w:divBdr>
        </w:div>
        <w:div w:id="76619966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tyles" Target="styles.xml"/><Relationship Id="rId7" Type="http://schemas.openxmlformats.org/officeDocument/2006/relationships/hyperlink" Target="mailto:Giorgio.rigali@lumina-intellige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62E9-21F3-479C-8002-3404344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2022-04-14T12:22:00Z</dcterms:created>
  <dcterms:modified xsi:type="dcterms:W3CDTF">2022-04-14T12:22:00Z</dcterms:modified>
</cp:coreProperties>
</file>