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7ABF" w14:textId="77777777" w:rsidR="00AF1551" w:rsidRPr="00AF1551" w:rsidRDefault="00AF1551" w:rsidP="00AF1551">
      <w:pPr>
        <w:rPr>
          <w:rFonts w:asciiTheme="majorHAnsi" w:hAnsiTheme="majorHAnsi" w:cstheme="majorHAnsi"/>
          <w:b/>
          <w:bCs/>
          <w:color w:val="505050"/>
          <w:sz w:val="18"/>
          <w:szCs w:val="18"/>
        </w:rPr>
      </w:pPr>
      <w:r w:rsidRPr="00AF1551">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00952039" wp14:editId="7401E54C">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AF1551">
        <w:rPr>
          <w:rFonts w:asciiTheme="majorHAnsi" w:hAnsiTheme="majorHAnsi" w:cstheme="majorHAnsi"/>
          <w:b/>
          <w:bCs/>
          <w:color w:val="505050"/>
          <w:sz w:val="18"/>
          <w:szCs w:val="18"/>
        </w:rPr>
        <w:t>CONTACT INFORMATION:</w:t>
      </w:r>
    </w:p>
    <w:p w14:paraId="1DE39C53" w14:textId="77777777" w:rsidR="00AF1551" w:rsidRPr="00AF1551" w:rsidRDefault="00AF1551" w:rsidP="00AF1551">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Lumina Intelligence</w:t>
      </w:r>
    </w:p>
    <w:p w14:paraId="3FF0D2B3" w14:textId="516C0EC3" w:rsidR="00AF1551" w:rsidRPr="00AF1551" w:rsidRDefault="00AF1551" w:rsidP="00AF1551">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Monica Rico</w:t>
      </w:r>
    </w:p>
    <w:p w14:paraId="14CFFFDC" w14:textId="7FEA7273" w:rsidR="00AF1551" w:rsidRPr="00AF1551" w:rsidRDefault="00AF1551" w:rsidP="00AF1551">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07423555808</w:t>
      </w:r>
    </w:p>
    <w:p w14:paraId="0A9764CE" w14:textId="6FAB5273" w:rsidR="00AF1551" w:rsidRPr="00AF1551" w:rsidRDefault="00FF265A" w:rsidP="00AF1551">
      <w:pPr>
        <w:spacing w:after="0" w:line="240" w:lineRule="auto"/>
        <w:rPr>
          <w:rStyle w:val="Hyperlink"/>
          <w:rFonts w:asciiTheme="majorHAnsi" w:hAnsiTheme="majorHAnsi" w:cstheme="majorHAnsi"/>
          <w:color w:val="505050"/>
          <w:sz w:val="18"/>
          <w:szCs w:val="18"/>
        </w:rPr>
      </w:pPr>
      <w:hyperlink r:id="rId6" w:history="1">
        <w:r w:rsidR="00AF1551" w:rsidRPr="00AF1551">
          <w:rPr>
            <w:rStyle w:val="Hyperlink"/>
            <w:rFonts w:asciiTheme="majorHAnsi" w:hAnsiTheme="majorHAnsi" w:cstheme="majorHAnsi"/>
            <w:b/>
            <w:bCs/>
            <w:sz w:val="18"/>
            <w:szCs w:val="18"/>
          </w:rPr>
          <w:t>monica.ricocastrillo@lumina-intelligence.co.uk</w:t>
        </w:r>
      </w:hyperlink>
    </w:p>
    <w:p w14:paraId="6D02EA0E" w14:textId="77777777" w:rsidR="00AF1551" w:rsidRPr="00AF1551" w:rsidRDefault="00AF1551" w:rsidP="00AF1551">
      <w:pPr>
        <w:spacing w:after="0" w:line="240" w:lineRule="auto"/>
        <w:rPr>
          <w:rStyle w:val="Hyperlink"/>
          <w:rFonts w:asciiTheme="majorHAnsi" w:hAnsiTheme="majorHAnsi" w:cstheme="majorHAnsi"/>
          <w:color w:val="505050"/>
          <w:sz w:val="18"/>
          <w:szCs w:val="18"/>
        </w:rPr>
      </w:pPr>
    </w:p>
    <w:p w14:paraId="497270A5" w14:textId="0D743F8F" w:rsidR="00E465FF" w:rsidRPr="00AF1551" w:rsidRDefault="00AF1551" w:rsidP="00AF1551">
      <w:pPr>
        <w:spacing w:after="0" w:line="240" w:lineRule="auto"/>
        <w:rPr>
          <w:rFonts w:asciiTheme="majorHAnsi" w:hAnsiTheme="majorHAnsi" w:cstheme="majorHAnsi"/>
          <w:b/>
          <w:bCs/>
          <w:color w:val="505050"/>
          <w:sz w:val="18"/>
          <w:szCs w:val="18"/>
          <w:u w:val="single"/>
        </w:rPr>
      </w:pPr>
      <w:r w:rsidRPr="00AF1551">
        <w:rPr>
          <w:rStyle w:val="Hyperlink"/>
          <w:rFonts w:asciiTheme="majorHAnsi" w:hAnsiTheme="majorHAnsi" w:cstheme="majorHAnsi"/>
          <w:b/>
          <w:bCs/>
          <w:color w:val="505050"/>
          <w:sz w:val="18"/>
          <w:szCs w:val="18"/>
        </w:rPr>
        <w:t>27</w:t>
      </w:r>
      <w:r w:rsidRPr="00AF1551">
        <w:rPr>
          <w:rStyle w:val="Hyperlink"/>
          <w:rFonts w:asciiTheme="majorHAnsi" w:hAnsiTheme="majorHAnsi" w:cstheme="majorHAnsi"/>
          <w:b/>
          <w:bCs/>
          <w:color w:val="505050"/>
          <w:sz w:val="18"/>
          <w:szCs w:val="18"/>
          <w:vertAlign w:val="superscript"/>
        </w:rPr>
        <w:t>th</w:t>
      </w:r>
      <w:r w:rsidRPr="00AF1551">
        <w:rPr>
          <w:rStyle w:val="Hyperlink"/>
          <w:rFonts w:asciiTheme="majorHAnsi" w:hAnsiTheme="majorHAnsi" w:cstheme="majorHAnsi"/>
          <w:b/>
          <w:bCs/>
          <w:color w:val="505050"/>
          <w:sz w:val="18"/>
          <w:szCs w:val="18"/>
        </w:rPr>
        <w:t xml:space="preserve"> October 2022</w:t>
      </w:r>
    </w:p>
    <w:p w14:paraId="08135B0B" w14:textId="69987668" w:rsidR="00BC677F" w:rsidRPr="00AF1551" w:rsidRDefault="00BC677F">
      <w:pPr>
        <w:rPr>
          <w:rFonts w:asciiTheme="majorHAnsi" w:hAnsiTheme="majorHAnsi" w:cstheme="majorHAnsi"/>
        </w:rPr>
      </w:pPr>
    </w:p>
    <w:p w14:paraId="19036394" w14:textId="29E63238" w:rsidR="00BC677F" w:rsidRPr="00AF1551" w:rsidRDefault="00BC677F">
      <w:pPr>
        <w:rPr>
          <w:rFonts w:ascii="Arial" w:hAnsi="Arial" w:cs="Arial"/>
          <w:sz w:val="32"/>
          <w:szCs w:val="32"/>
        </w:rPr>
      </w:pPr>
      <w:r w:rsidRPr="00AF1551">
        <w:rPr>
          <w:rFonts w:ascii="Arial" w:hAnsi="Arial" w:cs="Arial"/>
          <w:sz w:val="32"/>
          <w:szCs w:val="32"/>
        </w:rPr>
        <w:t xml:space="preserve">Growth of +£5.4 billion year-on-year, as UK Restaurant </w:t>
      </w:r>
      <w:r w:rsidR="006A6DF7">
        <w:rPr>
          <w:rFonts w:ascii="Arial" w:hAnsi="Arial" w:cs="Arial"/>
          <w:sz w:val="32"/>
          <w:szCs w:val="32"/>
        </w:rPr>
        <w:t>M</w:t>
      </w:r>
      <w:r w:rsidRPr="00AF1551">
        <w:rPr>
          <w:rFonts w:ascii="Arial" w:hAnsi="Arial" w:cs="Arial"/>
          <w:sz w:val="32"/>
          <w:szCs w:val="32"/>
        </w:rPr>
        <w:t xml:space="preserve">arket </w:t>
      </w:r>
      <w:r w:rsidR="006A6DF7">
        <w:rPr>
          <w:rFonts w:ascii="Arial" w:hAnsi="Arial" w:cs="Arial"/>
          <w:sz w:val="32"/>
          <w:szCs w:val="32"/>
        </w:rPr>
        <w:t>Report forecasts sector’s</w:t>
      </w:r>
      <w:r w:rsidRPr="00AF1551">
        <w:rPr>
          <w:rFonts w:ascii="Arial" w:hAnsi="Arial" w:cs="Arial"/>
          <w:sz w:val="32"/>
          <w:szCs w:val="32"/>
        </w:rPr>
        <w:t xml:space="preserve"> value</w:t>
      </w:r>
      <w:r w:rsidR="006A6DF7">
        <w:rPr>
          <w:rFonts w:ascii="Arial" w:hAnsi="Arial" w:cs="Arial"/>
          <w:sz w:val="32"/>
          <w:szCs w:val="32"/>
        </w:rPr>
        <w:t xml:space="preserve"> of</w:t>
      </w:r>
      <w:r w:rsidRPr="00AF1551">
        <w:rPr>
          <w:rFonts w:ascii="Arial" w:hAnsi="Arial" w:cs="Arial"/>
          <w:sz w:val="32"/>
          <w:szCs w:val="32"/>
        </w:rPr>
        <w:t xml:space="preserve"> £18.1 billion in 2022</w:t>
      </w:r>
    </w:p>
    <w:p w14:paraId="32DBF93B" w14:textId="3BF517F6" w:rsidR="00BC677F" w:rsidRPr="00AF1551" w:rsidRDefault="00BC677F">
      <w:pPr>
        <w:rPr>
          <w:rFonts w:asciiTheme="majorHAnsi" w:hAnsiTheme="majorHAnsi" w:cstheme="majorHAnsi"/>
        </w:rPr>
      </w:pPr>
    </w:p>
    <w:p w14:paraId="2021AA02" w14:textId="3D68066B" w:rsidR="00AF1551" w:rsidRPr="00AF1551" w:rsidRDefault="00AF1551">
      <w:pPr>
        <w:rPr>
          <w:rFonts w:asciiTheme="majorHAnsi" w:hAnsiTheme="majorHAnsi" w:cstheme="majorHAnsi"/>
          <w:sz w:val="20"/>
          <w:szCs w:val="20"/>
        </w:rPr>
      </w:pPr>
      <w:r>
        <w:rPr>
          <w:rFonts w:asciiTheme="majorHAnsi" w:hAnsiTheme="majorHAnsi" w:cstheme="majorHAnsi"/>
          <w:sz w:val="20"/>
          <w:szCs w:val="20"/>
        </w:rPr>
        <w:t xml:space="preserve">Value-led </w:t>
      </w:r>
      <w:r w:rsidR="006A6DF7">
        <w:rPr>
          <w:rFonts w:asciiTheme="majorHAnsi" w:hAnsiTheme="majorHAnsi" w:cstheme="majorHAnsi"/>
          <w:sz w:val="20"/>
          <w:szCs w:val="20"/>
        </w:rPr>
        <w:t xml:space="preserve">strategies, sustainability, innovation, and digitalisation have been some of the key growth drivers highlighted by </w:t>
      </w:r>
      <w:r w:rsidR="00924F08" w:rsidRPr="00AF1551">
        <w:rPr>
          <w:rFonts w:asciiTheme="majorHAnsi" w:hAnsiTheme="majorHAnsi" w:cstheme="majorHAnsi"/>
          <w:sz w:val="20"/>
          <w:szCs w:val="20"/>
        </w:rPr>
        <w:t xml:space="preserve">Lumina Intelligence’s </w:t>
      </w:r>
      <w:hyperlink r:id="rId7" w:history="1">
        <w:r w:rsidR="00924F08" w:rsidRPr="00FF265A">
          <w:rPr>
            <w:rStyle w:val="Hyperlink"/>
            <w:rFonts w:asciiTheme="majorHAnsi" w:hAnsiTheme="majorHAnsi" w:cstheme="majorHAnsi"/>
            <w:sz w:val="20"/>
            <w:szCs w:val="20"/>
          </w:rPr>
          <w:t>Restaurant Market Report 2022</w:t>
        </w:r>
      </w:hyperlink>
      <w:r w:rsidR="00924F08" w:rsidRPr="00AF1551">
        <w:rPr>
          <w:rFonts w:asciiTheme="majorHAnsi" w:hAnsiTheme="majorHAnsi" w:cstheme="majorHAnsi"/>
          <w:sz w:val="20"/>
          <w:szCs w:val="20"/>
        </w:rPr>
        <w:t>, an overview of the UK restaurant market landscape in the UK</w:t>
      </w:r>
      <w:r w:rsidR="00AB1733">
        <w:rPr>
          <w:rFonts w:asciiTheme="majorHAnsi" w:hAnsiTheme="majorHAnsi" w:cstheme="majorHAnsi"/>
          <w:sz w:val="20"/>
          <w:szCs w:val="20"/>
        </w:rPr>
        <w:t>, i</w:t>
      </w:r>
      <w:r w:rsidR="00924F08" w:rsidRPr="00AF1551">
        <w:rPr>
          <w:rFonts w:asciiTheme="majorHAnsi" w:hAnsiTheme="majorHAnsi" w:cstheme="majorHAnsi"/>
          <w:sz w:val="20"/>
          <w:szCs w:val="20"/>
        </w:rPr>
        <w:t xml:space="preserve">ncluding the size and breakdown of the market, market growth and market drivers and inhibitors to 2022. </w:t>
      </w:r>
    </w:p>
    <w:p w14:paraId="0F16848B" w14:textId="77777777" w:rsidR="00AF1551" w:rsidRPr="00AF1551" w:rsidRDefault="00AF1551">
      <w:pPr>
        <w:rPr>
          <w:rFonts w:asciiTheme="majorHAnsi" w:hAnsiTheme="majorHAnsi" w:cstheme="majorHAnsi"/>
          <w:sz w:val="20"/>
          <w:szCs w:val="20"/>
        </w:rPr>
      </w:pPr>
    </w:p>
    <w:p w14:paraId="02FE3DB1" w14:textId="33495A80" w:rsidR="00516D22" w:rsidRPr="00AF1551" w:rsidRDefault="00AE66C7">
      <w:pPr>
        <w:rPr>
          <w:rFonts w:asciiTheme="majorHAnsi" w:hAnsiTheme="majorHAnsi" w:cstheme="majorHAnsi"/>
          <w:b/>
          <w:bCs/>
          <w:sz w:val="20"/>
          <w:szCs w:val="20"/>
        </w:rPr>
      </w:pPr>
      <w:r w:rsidRPr="00AF1551">
        <w:rPr>
          <w:rFonts w:asciiTheme="majorHAnsi" w:hAnsiTheme="majorHAnsi" w:cstheme="majorHAnsi"/>
          <w:b/>
          <w:bCs/>
          <w:sz w:val="20"/>
          <w:szCs w:val="20"/>
        </w:rPr>
        <w:t>Unrestricted trading</w:t>
      </w:r>
      <w:r w:rsidR="00516D22" w:rsidRPr="00AF1551">
        <w:rPr>
          <w:rFonts w:asciiTheme="majorHAnsi" w:hAnsiTheme="majorHAnsi" w:cstheme="majorHAnsi"/>
          <w:b/>
          <w:bCs/>
          <w:sz w:val="20"/>
          <w:szCs w:val="20"/>
        </w:rPr>
        <w:t xml:space="preserve">: </w:t>
      </w:r>
      <w:r w:rsidRPr="00AF1551">
        <w:rPr>
          <w:rFonts w:asciiTheme="majorHAnsi" w:hAnsiTheme="majorHAnsi" w:cstheme="majorHAnsi"/>
          <w:b/>
          <w:bCs/>
          <w:sz w:val="20"/>
          <w:szCs w:val="20"/>
        </w:rPr>
        <w:t>main market driver in 2022</w:t>
      </w:r>
    </w:p>
    <w:p w14:paraId="3F2E30C6" w14:textId="29ED6662" w:rsidR="00AE66C7" w:rsidRPr="00AF1551" w:rsidRDefault="00AE66C7">
      <w:pPr>
        <w:rPr>
          <w:rFonts w:asciiTheme="majorHAnsi" w:hAnsiTheme="majorHAnsi" w:cstheme="majorHAnsi"/>
          <w:sz w:val="20"/>
          <w:szCs w:val="20"/>
        </w:rPr>
      </w:pPr>
      <w:r w:rsidRPr="00AF1551">
        <w:rPr>
          <w:rFonts w:asciiTheme="majorHAnsi" w:hAnsiTheme="majorHAnsi" w:cstheme="majorHAnsi"/>
          <w:sz w:val="20"/>
          <w:szCs w:val="20"/>
        </w:rPr>
        <w:t xml:space="preserve">While the </w:t>
      </w:r>
      <w:proofErr w:type="gramStart"/>
      <w:r w:rsidRPr="00AF1551">
        <w:rPr>
          <w:rFonts w:asciiTheme="majorHAnsi" w:hAnsiTheme="majorHAnsi" w:cstheme="majorHAnsi"/>
          <w:sz w:val="20"/>
          <w:szCs w:val="20"/>
        </w:rPr>
        <w:t>cost of living</w:t>
      </w:r>
      <w:proofErr w:type="gramEnd"/>
      <w:r w:rsidRPr="00AF1551">
        <w:rPr>
          <w:rFonts w:asciiTheme="majorHAnsi" w:hAnsiTheme="majorHAnsi" w:cstheme="majorHAnsi"/>
          <w:sz w:val="20"/>
          <w:szCs w:val="20"/>
        </w:rPr>
        <w:t xml:space="preserve"> crisis has severely impacted recovery in the restaurant market in 2022 with consumer penetration, frequency and spend all declining year-on-year, the UK Restaurant market is set to value £18.1 billion in 2022, 94% of its 2019 value –</w:t>
      </w:r>
      <w:r w:rsidR="006A6DF7">
        <w:rPr>
          <w:rFonts w:asciiTheme="majorHAnsi" w:hAnsiTheme="majorHAnsi" w:cstheme="majorHAnsi"/>
          <w:sz w:val="20"/>
          <w:szCs w:val="20"/>
        </w:rPr>
        <w:t xml:space="preserve"> a</w:t>
      </w:r>
      <w:r w:rsidRPr="00AF1551">
        <w:rPr>
          <w:rFonts w:asciiTheme="majorHAnsi" w:hAnsiTheme="majorHAnsi" w:cstheme="majorHAnsi"/>
          <w:sz w:val="20"/>
          <w:szCs w:val="20"/>
        </w:rPr>
        <w:t xml:space="preserve"> growth of </w:t>
      </w:r>
      <w:r w:rsidRPr="006A6DF7">
        <w:rPr>
          <w:rFonts w:asciiTheme="majorHAnsi" w:hAnsiTheme="majorHAnsi" w:cstheme="majorHAnsi"/>
          <w:b/>
          <w:bCs/>
          <w:sz w:val="20"/>
          <w:szCs w:val="20"/>
        </w:rPr>
        <w:t>+£5.4 billion</w:t>
      </w:r>
      <w:r w:rsidRPr="00AF1551">
        <w:rPr>
          <w:rFonts w:asciiTheme="majorHAnsi" w:hAnsiTheme="majorHAnsi" w:cstheme="majorHAnsi"/>
          <w:sz w:val="20"/>
          <w:szCs w:val="20"/>
        </w:rPr>
        <w:t xml:space="preserve"> year-on-year.  </w:t>
      </w:r>
    </w:p>
    <w:p w14:paraId="53A670FC" w14:textId="77777777" w:rsidR="00AF1551" w:rsidRPr="00AF1551" w:rsidRDefault="00AF1551">
      <w:pPr>
        <w:rPr>
          <w:rFonts w:asciiTheme="majorHAnsi" w:hAnsiTheme="majorHAnsi" w:cstheme="majorHAnsi"/>
          <w:b/>
          <w:bCs/>
          <w:sz w:val="20"/>
          <w:szCs w:val="20"/>
        </w:rPr>
      </w:pPr>
    </w:p>
    <w:p w14:paraId="33D50352" w14:textId="1B84E088" w:rsidR="00AE66C7" w:rsidRPr="00AF1551" w:rsidRDefault="00AE66C7">
      <w:pPr>
        <w:rPr>
          <w:rFonts w:asciiTheme="majorHAnsi" w:hAnsiTheme="majorHAnsi" w:cstheme="majorHAnsi"/>
          <w:b/>
          <w:bCs/>
          <w:sz w:val="20"/>
          <w:szCs w:val="20"/>
        </w:rPr>
      </w:pPr>
      <w:r w:rsidRPr="00AF1551">
        <w:rPr>
          <w:rFonts w:asciiTheme="majorHAnsi" w:hAnsiTheme="majorHAnsi" w:cstheme="majorHAnsi"/>
          <w:b/>
          <w:bCs/>
          <w:sz w:val="20"/>
          <w:szCs w:val="20"/>
        </w:rPr>
        <w:t>Value will be a key focus over the next 18 months</w:t>
      </w:r>
    </w:p>
    <w:p w14:paraId="21ABA263" w14:textId="77777777" w:rsidR="00AE66C7" w:rsidRPr="00AF1551" w:rsidRDefault="00AE66C7">
      <w:pPr>
        <w:rPr>
          <w:rFonts w:asciiTheme="majorHAnsi" w:hAnsiTheme="majorHAnsi" w:cstheme="majorHAnsi"/>
          <w:sz w:val="20"/>
          <w:szCs w:val="20"/>
        </w:rPr>
      </w:pPr>
      <w:r w:rsidRPr="00AF1551">
        <w:rPr>
          <w:rFonts w:asciiTheme="majorHAnsi" w:hAnsiTheme="majorHAnsi" w:cstheme="majorHAnsi"/>
          <w:sz w:val="20"/>
          <w:szCs w:val="20"/>
        </w:rPr>
        <w:t xml:space="preserve">Operators are expected to use a range of techniques to bolster value credentials including promotions, more sophisticated loyalty schemes and menu price management, with same-line dish price inflation at just +7.3% year-on-year.  </w:t>
      </w:r>
    </w:p>
    <w:p w14:paraId="21D2508F" w14:textId="754A909C" w:rsidR="00AE66C7" w:rsidRPr="00AF1551" w:rsidRDefault="00AE66C7">
      <w:pPr>
        <w:rPr>
          <w:rFonts w:asciiTheme="majorHAnsi" w:hAnsiTheme="majorHAnsi" w:cstheme="majorHAnsi"/>
          <w:sz w:val="20"/>
          <w:szCs w:val="20"/>
        </w:rPr>
      </w:pPr>
      <w:r w:rsidRPr="00AF1551">
        <w:rPr>
          <w:rFonts w:asciiTheme="majorHAnsi" w:hAnsiTheme="majorHAnsi" w:cstheme="majorHAnsi"/>
          <w:sz w:val="20"/>
          <w:szCs w:val="20"/>
        </w:rPr>
        <w:t xml:space="preserve">Boosting quality-led messaging will justify higher price points. Tapping into a range of events including live music will align with the growing consumer value of being experience-led (+7% year-on-year). Events are expected to be a fruitful way of demonstrating </w:t>
      </w:r>
      <w:proofErr w:type="gramStart"/>
      <w:r w:rsidRPr="00AF1551">
        <w:rPr>
          <w:rFonts w:asciiTheme="majorHAnsi" w:hAnsiTheme="majorHAnsi" w:cstheme="majorHAnsi"/>
          <w:sz w:val="20"/>
          <w:szCs w:val="20"/>
        </w:rPr>
        <w:t>added-value</w:t>
      </w:r>
      <w:proofErr w:type="gramEnd"/>
      <w:r w:rsidRPr="00AF1551">
        <w:rPr>
          <w:rFonts w:asciiTheme="majorHAnsi" w:hAnsiTheme="majorHAnsi" w:cstheme="majorHAnsi"/>
          <w:sz w:val="20"/>
          <w:szCs w:val="20"/>
        </w:rPr>
        <w:t xml:space="preserve">.    </w:t>
      </w:r>
    </w:p>
    <w:p w14:paraId="55AAFBA6" w14:textId="77777777" w:rsidR="00AF1551" w:rsidRPr="00AF1551" w:rsidRDefault="00AF1551">
      <w:pPr>
        <w:rPr>
          <w:rFonts w:asciiTheme="majorHAnsi" w:hAnsiTheme="majorHAnsi" w:cstheme="majorHAnsi"/>
          <w:b/>
          <w:bCs/>
          <w:sz w:val="20"/>
          <w:szCs w:val="20"/>
        </w:rPr>
      </w:pPr>
    </w:p>
    <w:p w14:paraId="489AB512" w14:textId="1D796882" w:rsidR="00516D22" w:rsidRPr="00AF1551" w:rsidRDefault="00516D22">
      <w:pPr>
        <w:rPr>
          <w:rFonts w:asciiTheme="majorHAnsi" w:hAnsiTheme="majorHAnsi" w:cstheme="majorHAnsi"/>
          <w:b/>
          <w:bCs/>
          <w:sz w:val="20"/>
          <w:szCs w:val="20"/>
        </w:rPr>
      </w:pPr>
      <w:proofErr w:type="gramStart"/>
      <w:r w:rsidRPr="00AF1551">
        <w:rPr>
          <w:rFonts w:asciiTheme="majorHAnsi" w:hAnsiTheme="majorHAnsi" w:cstheme="majorHAnsi"/>
          <w:b/>
          <w:bCs/>
          <w:sz w:val="20"/>
          <w:szCs w:val="20"/>
        </w:rPr>
        <w:t>Future prospects</w:t>
      </w:r>
      <w:proofErr w:type="gramEnd"/>
      <w:r w:rsidRPr="00AF1551">
        <w:rPr>
          <w:rFonts w:asciiTheme="majorHAnsi" w:hAnsiTheme="majorHAnsi" w:cstheme="majorHAnsi"/>
          <w:b/>
          <w:bCs/>
          <w:sz w:val="20"/>
          <w:szCs w:val="20"/>
        </w:rPr>
        <w:t xml:space="preserve"> improve for brands in 2022</w:t>
      </w:r>
    </w:p>
    <w:p w14:paraId="0FDD7C86" w14:textId="778B4635" w:rsidR="00516D22" w:rsidRPr="00AF1551" w:rsidRDefault="00516D22" w:rsidP="00516D22">
      <w:pPr>
        <w:rPr>
          <w:rFonts w:asciiTheme="majorHAnsi" w:hAnsiTheme="majorHAnsi" w:cstheme="majorHAnsi"/>
          <w:sz w:val="20"/>
          <w:szCs w:val="20"/>
        </w:rPr>
      </w:pPr>
      <w:r w:rsidRPr="00AF1551">
        <w:rPr>
          <w:rFonts w:asciiTheme="majorHAnsi" w:hAnsiTheme="majorHAnsi" w:cstheme="majorHAnsi"/>
          <w:sz w:val="20"/>
          <w:szCs w:val="20"/>
        </w:rPr>
        <w:t xml:space="preserve">Branded restaurants are forecast to see outlet growth of +2.3% in 2022, led by expansion from brands including </w:t>
      </w:r>
      <w:r w:rsidRPr="006A6DF7">
        <w:rPr>
          <w:rFonts w:asciiTheme="majorHAnsi" w:hAnsiTheme="majorHAnsi" w:cstheme="majorHAnsi"/>
          <w:b/>
          <w:bCs/>
          <w:sz w:val="20"/>
          <w:szCs w:val="20"/>
        </w:rPr>
        <w:t>Nando’s</w:t>
      </w:r>
      <w:r w:rsidRPr="00AF1551">
        <w:rPr>
          <w:rFonts w:asciiTheme="majorHAnsi" w:hAnsiTheme="majorHAnsi" w:cstheme="majorHAnsi"/>
          <w:sz w:val="20"/>
          <w:szCs w:val="20"/>
        </w:rPr>
        <w:t xml:space="preserve">, </w:t>
      </w:r>
      <w:r w:rsidRPr="006A6DF7">
        <w:rPr>
          <w:rFonts w:asciiTheme="majorHAnsi" w:hAnsiTheme="majorHAnsi" w:cstheme="majorHAnsi"/>
          <w:b/>
          <w:bCs/>
          <w:sz w:val="20"/>
          <w:szCs w:val="20"/>
        </w:rPr>
        <w:t>Slim Chicken’s</w:t>
      </w:r>
      <w:r w:rsidRPr="00AF1551">
        <w:rPr>
          <w:rFonts w:asciiTheme="majorHAnsi" w:hAnsiTheme="majorHAnsi" w:cstheme="majorHAnsi"/>
          <w:sz w:val="20"/>
          <w:szCs w:val="20"/>
        </w:rPr>
        <w:t xml:space="preserve"> and </w:t>
      </w:r>
      <w:r w:rsidRPr="006A6DF7">
        <w:rPr>
          <w:rFonts w:asciiTheme="majorHAnsi" w:hAnsiTheme="majorHAnsi" w:cstheme="majorHAnsi"/>
          <w:b/>
          <w:bCs/>
          <w:sz w:val="20"/>
          <w:szCs w:val="20"/>
        </w:rPr>
        <w:t xml:space="preserve">Franco </w:t>
      </w:r>
      <w:proofErr w:type="spellStart"/>
      <w:r w:rsidRPr="006A6DF7">
        <w:rPr>
          <w:rFonts w:asciiTheme="majorHAnsi" w:hAnsiTheme="majorHAnsi" w:cstheme="majorHAnsi"/>
          <w:b/>
          <w:bCs/>
          <w:sz w:val="20"/>
          <w:szCs w:val="20"/>
        </w:rPr>
        <w:t>Manca</w:t>
      </w:r>
      <w:proofErr w:type="spellEnd"/>
      <w:r w:rsidR="006A6DF7">
        <w:rPr>
          <w:rFonts w:asciiTheme="majorHAnsi" w:hAnsiTheme="majorHAnsi" w:cstheme="majorHAnsi"/>
          <w:sz w:val="20"/>
          <w:szCs w:val="20"/>
        </w:rPr>
        <w:t>, an uptick unseen since 2017.</w:t>
      </w:r>
    </w:p>
    <w:p w14:paraId="1C82F88B" w14:textId="064D0756" w:rsidR="00516D22" w:rsidRPr="00AF1551" w:rsidRDefault="00516D22" w:rsidP="00516D22">
      <w:pPr>
        <w:rPr>
          <w:rFonts w:asciiTheme="majorHAnsi" w:hAnsiTheme="majorHAnsi" w:cstheme="majorHAnsi"/>
          <w:sz w:val="20"/>
          <w:szCs w:val="20"/>
        </w:rPr>
      </w:pPr>
      <w:r w:rsidRPr="00AF1551">
        <w:rPr>
          <w:rFonts w:asciiTheme="majorHAnsi" w:hAnsiTheme="majorHAnsi" w:cstheme="majorHAnsi"/>
          <w:sz w:val="20"/>
          <w:szCs w:val="20"/>
        </w:rPr>
        <w:t xml:space="preserve">Brands are prioritising sustainability, </w:t>
      </w:r>
      <w:r w:rsidR="00FF265A" w:rsidRPr="00AF1551">
        <w:rPr>
          <w:rFonts w:asciiTheme="majorHAnsi" w:hAnsiTheme="majorHAnsi" w:cstheme="majorHAnsi"/>
          <w:sz w:val="20"/>
          <w:szCs w:val="20"/>
        </w:rPr>
        <w:t>innovation,</w:t>
      </w:r>
      <w:r w:rsidRPr="00AF1551">
        <w:rPr>
          <w:rFonts w:asciiTheme="majorHAnsi" w:hAnsiTheme="majorHAnsi" w:cstheme="majorHAnsi"/>
          <w:sz w:val="20"/>
          <w:szCs w:val="20"/>
        </w:rPr>
        <w:t xml:space="preserve"> and digitalisation with initial trials of robots in front of house, regenerative farming efforts as well as a sustained focus on multiple revenue streams including delivery and omnichannel trading.    </w:t>
      </w:r>
    </w:p>
    <w:p w14:paraId="26C3E695" w14:textId="77777777" w:rsidR="00AF1551" w:rsidRDefault="00AF1551" w:rsidP="00516D22">
      <w:pPr>
        <w:rPr>
          <w:rFonts w:asciiTheme="majorHAnsi" w:eastAsia="Times New Roman" w:hAnsiTheme="majorHAnsi" w:cstheme="majorHAnsi"/>
          <w:color w:val="000000"/>
          <w:sz w:val="20"/>
          <w:szCs w:val="20"/>
          <w:lang w:eastAsia="en-GB"/>
        </w:rPr>
      </w:pPr>
    </w:p>
    <w:p w14:paraId="3FA68353" w14:textId="3BAFB29B" w:rsidR="00516D22" w:rsidRPr="00AF1551" w:rsidRDefault="00516D22" w:rsidP="00516D22">
      <w:pPr>
        <w:rPr>
          <w:rFonts w:asciiTheme="majorHAnsi" w:hAnsiTheme="majorHAnsi" w:cstheme="majorHAnsi"/>
          <w:sz w:val="20"/>
          <w:szCs w:val="20"/>
        </w:rPr>
      </w:pPr>
      <w:r w:rsidRPr="00BC677F">
        <w:rPr>
          <w:rFonts w:asciiTheme="majorHAnsi" w:eastAsia="Times New Roman" w:hAnsiTheme="majorHAnsi" w:cstheme="majorHAnsi"/>
          <w:color w:val="000000"/>
          <w:sz w:val="20"/>
          <w:szCs w:val="20"/>
          <w:lang w:eastAsia="en-GB"/>
        </w:rPr>
        <w:t xml:space="preserve">The industry analysis </w:t>
      </w:r>
      <w:r w:rsidRPr="00AF1551">
        <w:rPr>
          <w:rFonts w:asciiTheme="majorHAnsi" w:eastAsia="Times New Roman" w:hAnsiTheme="majorHAnsi" w:cstheme="majorHAnsi"/>
          <w:color w:val="000000"/>
          <w:sz w:val="20"/>
          <w:szCs w:val="20"/>
          <w:lang w:eastAsia="en-GB"/>
        </w:rPr>
        <w:t xml:space="preserve">focused on </w:t>
      </w:r>
      <w:r w:rsidRPr="00AF1551">
        <w:rPr>
          <w:rFonts w:asciiTheme="majorHAnsi" w:hAnsiTheme="majorHAnsi" w:cstheme="majorHAnsi"/>
          <w:sz w:val="20"/>
          <w:szCs w:val="20"/>
        </w:rPr>
        <w:t xml:space="preserve">Market sizing, competitive landscape, consumer insight, product &amp; price, via a thorough research of the UK market, and the examination of leading brands, as well as the forecasts for market growth for 2022F-2025F, together with our view on the future drivers and inhibitors. Lumina’s </w:t>
      </w:r>
      <w:hyperlink r:id="rId8" w:history="1">
        <w:r w:rsidR="00BE7FAC" w:rsidRPr="00BE7FAC">
          <w:rPr>
            <w:rStyle w:val="Hyperlink"/>
            <w:rFonts w:asciiTheme="majorHAnsi" w:hAnsiTheme="majorHAnsi" w:cstheme="majorHAnsi"/>
            <w:sz w:val="20"/>
            <w:szCs w:val="20"/>
          </w:rPr>
          <w:t>Eating and Drinking Out Panel</w:t>
        </w:r>
      </w:hyperlink>
      <w:r w:rsidRPr="00AF1551">
        <w:rPr>
          <w:rFonts w:asciiTheme="majorHAnsi" w:hAnsiTheme="majorHAnsi" w:cstheme="majorHAnsi"/>
          <w:sz w:val="20"/>
          <w:szCs w:val="20"/>
        </w:rPr>
        <w:t xml:space="preserve"> and </w:t>
      </w:r>
      <w:hyperlink r:id="rId9" w:history="1">
        <w:r w:rsidRPr="00BE7FAC">
          <w:rPr>
            <w:rStyle w:val="Hyperlink"/>
            <w:rFonts w:asciiTheme="majorHAnsi" w:hAnsiTheme="majorHAnsi" w:cstheme="majorHAnsi"/>
            <w:sz w:val="20"/>
            <w:szCs w:val="20"/>
          </w:rPr>
          <w:t>Menu Tracker</w:t>
        </w:r>
      </w:hyperlink>
      <w:r w:rsidRPr="00AF1551">
        <w:rPr>
          <w:rFonts w:asciiTheme="majorHAnsi" w:hAnsiTheme="majorHAnsi" w:cstheme="majorHAnsi"/>
          <w:sz w:val="20"/>
          <w:szCs w:val="20"/>
        </w:rPr>
        <w:t xml:space="preserve"> tools were key contributors to the Report’s </w:t>
      </w:r>
      <w:r w:rsidR="00AF1551" w:rsidRPr="00AF1551">
        <w:rPr>
          <w:rFonts w:asciiTheme="majorHAnsi" w:hAnsiTheme="majorHAnsi" w:cstheme="majorHAnsi"/>
          <w:sz w:val="20"/>
          <w:szCs w:val="20"/>
        </w:rPr>
        <w:t xml:space="preserve">data delivery. </w:t>
      </w:r>
    </w:p>
    <w:p w14:paraId="713ED886" w14:textId="4C99F902" w:rsidR="00516D22" w:rsidRPr="00AF1551" w:rsidRDefault="00516D22" w:rsidP="00516D22">
      <w:pPr>
        <w:rPr>
          <w:rFonts w:asciiTheme="majorHAnsi" w:hAnsiTheme="majorHAnsi" w:cstheme="majorHAnsi"/>
          <w:sz w:val="20"/>
          <w:szCs w:val="20"/>
        </w:rPr>
      </w:pPr>
    </w:p>
    <w:p w14:paraId="49F2926D" w14:textId="5E7547C8" w:rsidR="00AF1551" w:rsidRPr="00AF1551" w:rsidRDefault="00AF1551" w:rsidP="00516D22">
      <w:pPr>
        <w:rPr>
          <w:rFonts w:asciiTheme="majorHAnsi" w:hAnsiTheme="majorHAnsi" w:cstheme="majorHAnsi"/>
          <w:sz w:val="20"/>
          <w:szCs w:val="20"/>
        </w:rPr>
      </w:pPr>
      <w:r w:rsidRPr="00AF1551">
        <w:rPr>
          <w:rFonts w:asciiTheme="majorHAnsi" w:hAnsiTheme="majorHAnsi" w:cstheme="majorHAnsi"/>
          <w:sz w:val="20"/>
          <w:szCs w:val="20"/>
        </w:rPr>
        <w:t>ENDS</w:t>
      </w:r>
    </w:p>
    <w:p w14:paraId="544FB21A" w14:textId="77777777" w:rsidR="00AF1551" w:rsidRPr="00AF1551" w:rsidRDefault="00AF1551" w:rsidP="00516D22">
      <w:pPr>
        <w:rPr>
          <w:rFonts w:asciiTheme="majorHAnsi" w:hAnsiTheme="majorHAnsi" w:cstheme="majorHAnsi"/>
          <w:sz w:val="20"/>
          <w:szCs w:val="20"/>
        </w:rPr>
      </w:pPr>
    </w:p>
    <w:p w14:paraId="4A474CF7" w14:textId="34D19C31" w:rsidR="00AF1551" w:rsidRPr="00AF1551" w:rsidRDefault="00BE7FAC" w:rsidP="00AF1551">
      <w:pPr>
        <w:rPr>
          <w:rFonts w:asciiTheme="majorHAnsi" w:hAnsiTheme="majorHAnsi" w:cstheme="majorHAnsi"/>
          <w:b/>
          <w:bCs/>
          <w:sz w:val="20"/>
          <w:szCs w:val="20"/>
        </w:rPr>
      </w:pPr>
      <w:r>
        <w:rPr>
          <w:rFonts w:asciiTheme="majorHAnsi" w:hAnsiTheme="majorHAnsi" w:cstheme="majorHAnsi"/>
          <w:b/>
          <w:bCs/>
          <w:sz w:val="20"/>
          <w:szCs w:val="20"/>
        </w:rPr>
        <w:t xml:space="preserve">Report </w:t>
      </w:r>
      <w:r w:rsidR="00AF1551" w:rsidRPr="00AF1551">
        <w:rPr>
          <w:rFonts w:asciiTheme="majorHAnsi" w:hAnsiTheme="majorHAnsi" w:cstheme="majorHAnsi"/>
          <w:b/>
          <w:bCs/>
          <w:sz w:val="20"/>
          <w:szCs w:val="20"/>
        </w:rPr>
        <w:t>Methodology</w:t>
      </w:r>
    </w:p>
    <w:p w14:paraId="50F1754D" w14:textId="53C38C52" w:rsidR="00BE7FAC" w:rsidRDefault="00BE7FAC" w:rsidP="00BE7FAC">
      <w:pPr>
        <w:rPr>
          <w:rFonts w:ascii="Arial" w:hAnsi="Arial" w:cs="Arial"/>
          <w:sz w:val="20"/>
          <w:szCs w:val="20"/>
        </w:rPr>
      </w:pPr>
      <w:r w:rsidRPr="00BE7FAC">
        <w:rPr>
          <w:rFonts w:ascii="Arial" w:hAnsi="Arial" w:cs="Arial"/>
          <w:sz w:val="20"/>
          <w:szCs w:val="20"/>
        </w:rPr>
        <w:t>The Lumina Intelligence UK Restaurant Market Report 2022 is a necessity for those looking to navigate the 2023 landscape. It includes market sizing and forecasts to 2025, up to date consumer behaviour insight and analysis of the current restaurant competitive landscape providing a holistic source of intelligence on this channel for suppliers, operators, service providers and investors alike. Our unique comprehensive report helps our clients understand the scope of the restaurant channel and how best to navigate the forth coming opportunities and challenges in the market. It is a must-have for any who operate in or supply the restaurant channel.</w:t>
      </w:r>
    </w:p>
    <w:p w14:paraId="45F30E6F" w14:textId="06946151" w:rsidR="00BE7FAC" w:rsidRDefault="00BE7FAC" w:rsidP="00BE7FAC">
      <w:pPr>
        <w:rPr>
          <w:rFonts w:ascii="Arial" w:hAnsi="Arial" w:cs="Arial"/>
          <w:sz w:val="20"/>
          <w:szCs w:val="20"/>
        </w:rPr>
      </w:pPr>
      <w:r>
        <w:rPr>
          <w:rFonts w:ascii="Arial" w:hAnsi="Arial" w:cs="Arial"/>
          <w:sz w:val="20"/>
          <w:szCs w:val="20"/>
        </w:rPr>
        <w:t>The methodology for this report is as follows:</w:t>
      </w:r>
    </w:p>
    <w:p w14:paraId="0566122F" w14:textId="70DD3CEC" w:rsidR="004240E1" w:rsidRPr="003A4678" w:rsidRDefault="004240E1" w:rsidP="003A4678">
      <w:pPr>
        <w:pStyle w:val="ListParagraph"/>
        <w:numPr>
          <w:ilvl w:val="0"/>
          <w:numId w:val="3"/>
        </w:numPr>
        <w:rPr>
          <w:rFonts w:ascii="Arial" w:hAnsi="Arial" w:cs="Arial"/>
          <w:sz w:val="20"/>
          <w:szCs w:val="20"/>
        </w:rPr>
      </w:pPr>
      <w:r w:rsidRPr="003A4678">
        <w:rPr>
          <w:rFonts w:ascii="Arial" w:hAnsi="Arial" w:cs="Arial"/>
          <w:sz w:val="20"/>
          <w:szCs w:val="20"/>
        </w:rPr>
        <w:t>The behaviour of 78,000 nationally representative consumers per year, tracked by Lumina Intelligence’s UK Eating&amp; Drinking Out Panel.</w:t>
      </w:r>
    </w:p>
    <w:p w14:paraId="2F68FB85" w14:textId="07C13B3B" w:rsidR="004240E1" w:rsidRPr="003A4678" w:rsidRDefault="004240E1" w:rsidP="003A4678">
      <w:pPr>
        <w:pStyle w:val="ListParagraph"/>
        <w:numPr>
          <w:ilvl w:val="0"/>
          <w:numId w:val="3"/>
        </w:numPr>
        <w:rPr>
          <w:rFonts w:ascii="Arial" w:hAnsi="Arial" w:cs="Arial"/>
          <w:sz w:val="20"/>
          <w:szCs w:val="20"/>
        </w:rPr>
      </w:pPr>
      <w:r w:rsidRPr="003A4678">
        <w:rPr>
          <w:rFonts w:ascii="Arial" w:hAnsi="Arial" w:cs="Arial"/>
          <w:sz w:val="20"/>
          <w:szCs w:val="20"/>
        </w:rPr>
        <w:t xml:space="preserve">Menu insight from Lumina Intelligence Menu Tracker – a database of over half a million menu items from the Top 80 Operators across the Eating Out market, plus 20 chain restaurant Operators </w:t>
      </w:r>
    </w:p>
    <w:p w14:paraId="35955581" w14:textId="2C52C36A" w:rsidR="004240E1" w:rsidRPr="003A4678" w:rsidRDefault="004240E1" w:rsidP="003A4678">
      <w:pPr>
        <w:pStyle w:val="ListParagraph"/>
        <w:numPr>
          <w:ilvl w:val="0"/>
          <w:numId w:val="3"/>
        </w:numPr>
        <w:rPr>
          <w:rFonts w:ascii="Arial" w:hAnsi="Arial" w:cs="Arial"/>
          <w:sz w:val="20"/>
          <w:szCs w:val="20"/>
        </w:rPr>
      </w:pPr>
      <w:r w:rsidRPr="003A4678">
        <w:rPr>
          <w:rFonts w:ascii="Arial" w:hAnsi="Arial" w:cs="Arial"/>
          <w:sz w:val="20"/>
          <w:szCs w:val="20"/>
        </w:rPr>
        <w:t>Market sizing data tracking the performance of hospitality and grocery operators, based on turnover and outlet numbers Extracts from Operator Data Index and wider synthesis with total Eating Out market sizing</w:t>
      </w:r>
    </w:p>
    <w:p w14:paraId="27D893C9" w14:textId="18F4F695" w:rsidR="004240E1" w:rsidRPr="003A4678" w:rsidRDefault="004240E1" w:rsidP="003A4678">
      <w:pPr>
        <w:pStyle w:val="ListParagraph"/>
        <w:numPr>
          <w:ilvl w:val="0"/>
          <w:numId w:val="3"/>
        </w:numPr>
        <w:rPr>
          <w:rFonts w:ascii="Arial" w:hAnsi="Arial" w:cs="Arial"/>
          <w:sz w:val="20"/>
          <w:szCs w:val="20"/>
        </w:rPr>
      </w:pPr>
      <w:r w:rsidRPr="003A4678">
        <w:rPr>
          <w:rFonts w:ascii="Arial" w:hAnsi="Arial" w:cs="Arial"/>
          <w:sz w:val="20"/>
          <w:szCs w:val="20"/>
        </w:rPr>
        <w:t>Lumina Intelligence Top of Mind business leaders survey</w:t>
      </w:r>
      <w:r w:rsidR="003A4678" w:rsidRPr="003A4678">
        <w:rPr>
          <w:rFonts w:ascii="Arial" w:hAnsi="Arial" w:cs="Arial"/>
          <w:sz w:val="20"/>
          <w:szCs w:val="20"/>
        </w:rPr>
        <w:t>,</w:t>
      </w:r>
      <w:r w:rsidRPr="003A4678">
        <w:rPr>
          <w:rFonts w:ascii="Arial" w:hAnsi="Arial" w:cs="Arial"/>
          <w:sz w:val="20"/>
          <w:szCs w:val="20"/>
        </w:rPr>
        <w:t xml:space="preserve"> targeted at industry professionals across the eating out and grocery retail markets, to understand the trading environment, </w:t>
      </w:r>
      <w:proofErr w:type="gramStart"/>
      <w:r w:rsidRPr="003A4678">
        <w:rPr>
          <w:rFonts w:ascii="Arial" w:hAnsi="Arial" w:cs="Arial"/>
          <w:sz w:val="20"/>
          <w:szCs w:val="20"/>
        </w:rPr>
        <w:t>challenges</w:t>
      </w:r>
      <w:proofErr w:type="gramEnd"/>
      <w:r w:rsidRPr="003A4678">
        <w:rPr>
          <w:rFonts w:ascii="Arial" w:hAnsi="Arial" w:cs="Arial"/>
          <w:sz w:val="20"/>
          <w:szCs w:val="20"/>
        </w:rPr>
        <w:t xml:space="preserve"> and growth opportunities</w:t>
      </w:r>
    </w:p>
    <w:p w14:paraId="0B0DD442" w14:textId="77777777" w:rsidR="00AF1551" w:rsidRPr="00AF1551" w:rsidRDefault="00AF1551" w:rsidP="00AF1551">
      <w:pPr>
        <w:rPr>
          <w:rFonts w:asciiTheme="majorHAnsi" w:hAnsiTheme="majorHAnsi" w:cstheme="majorHAnsi"/>
          <w:b/>
          <w:bCs/>
          <w:sz w:val="20"/>
          <w:szCs w:val="20"/>
        </w:rPr>
      </w:pPr>
      <w:r w:rsidRPr="00AF1551">
        <w:rPr>
          <w:rFonts w:asciiTheme="majorHAnsi" w:hAnsiTheme="majorHAnsi" w:cstheme="majorHAnsi"/>
          <w:b/>
          <w:bCs/>
          <w:sz w:val="20"/>
          <w:szCs w:val="20"/>
        </w:rPr>
        <w:t>About Lumina Intelligence</w:t>
      </w:r>
    </w:p>
    <w:p w14:paraId="15738C9C" w14:textId="172FA69F" w:rsidR="00BC677F" w:rsidRPr="0088535F" w:rsidRDefault="00AF1551">
      <w:pPr>
        <w:rPr>
          <w:rFonts w:asciiTheme="majorHAnsi" w:hAnsiTheme="majorHAnsi" w:cstheme="majorHAnsi"/>
          <w:sz w:val="20"/>
          <w:szCs w:val="20"/>
        </w:rPr>
      </w:pPr>
      <w:r w:rsidRPr="00AF1551">
        <w:rPr>
          <w:rFonts w:asciiTheme="majorHAnsi" w:hAnsiTheme="majorHAnsi" w:cstheme="majorHAnsi"/>
          <w:sz w:val="20"/>
          <w:szCs w:val="20"/>
        </w:rPr>
        <w:t>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w:t>
      </w:r>
    </w:p>
    <w:sectPr w:rsidR="00BC677F" w:rsidRPr="00885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50B"/>
    <w:multiLevelType w:val="hybridMultilevel"/>
    <w:tmpl w:val="9F840C1C"/>
    <w:lvl w:ilvl="0" w:tplc="442A6A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726D8"/>
    <w:multiLevelType w:val="hybridMultilevel"/>
    <w:tmpl w:val="C326FA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D804831"/>
    <w:multiLevelType w:val="hybridMultilevel"/>
    <w:tmpl w:val="5E5C5508"/>
    <w:lvl w:ilvl="0" w:tplc="442A6A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7F"/>
    <w:rsid w:val="003A4678"/>
    <w:rsid w:val="004240E1"/>
    <w:rsid w:val="00516D22"/>
    <w:rsid w:val="006A6DF7"/>
    <w:rsid w:val="0088535F"/>
    <w:rsid w:val="00924F08"/>
    <w:rsid w:val="00AB1733"/>
    <w:rsid w:val="00AE66C7"/>
    <w:rsid w:val="00AF1551"/>
    <w:rsid w:val="00BC677F"/>
    <w:rsid w:val="00BE7FAC"/>
    <w:rsid w:val="00E465FF"/>
    <w:rsid w:val="00FF2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63B6"/>
  <w15:chartTrackingRefBased/>
  <w15:docId w15:val="{CB5A1FFC-CD31-497A-94D3-1E104E06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7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1551"/>
    <w:rPr>
      <w:color w:val="0563C1" w:themeColor="hyperlink"/>
      <w:u w:val="single"/>
    </w:rPr>
  </w:style>
  <w:style w:type="character" w:styleId="UnresolvedMention">
    <w:name w:val="Unresolved Mention"/>
    <w:basedOn w:val="DefaultParagraphFont"/>
    <w:uiPriority w:val="99"/>
    <w:semiHidden/>
    <w:unhideWhenUsed/>
    <w:rsid w:val="00AF1551"/>
    <w:rPr>
      <w:color w:val="605E5C"/>
      <w:shd w:val="clear" w:color="auto" w:fill="E1DFDD"/>
    </w:rPr>
  </w:style>
  <w:style w:type="paragraph" w:styleId="ListParagraph">
    <w:name w:val="List Paragraph"/>
    <w:basedOn w:val="Normal"/>
    <w:uiPriority w:val="34"/>
    <w:qFormat/>
    <w:rsid w:val="00BE7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9818">
      <w:bodyDiv w:val="1"/>
      <w:marLeft w:val="0"/>
      <w:marRight w:val="0"/>
      <w:marTop w:val="0"/>
      <w:marBottom w:val="0"/>
      <w:divBdr>
        <w:top w:val="none" w:sz="0" w:space="0" w:color="auto"/>
        <w:left w:val="none" w:sz="0" w:space="0" w:color="auto"/>
        <w:bottom w:val="none" w:sz="0" w:space="0" w:color="auto"/>
        <w:right w:val="none" w:sz="0" w:space="0" w:color="auto"/>
      </w:divBdr>
    </w:div>
    <w:div w:id="256136332">
      <w:bodyDiv w:val="1"/>
      <w:marLeft w:val="0"/>
      <w:marRight w:val="0"/>
      <w:marTop w:val="0"/>
      <w:marBottom w:val="0"/>
      <w:divBdr>
        <w:top w:val="none" w:sz="0" w:space="0" w:color="auto"/>
        <w:left w:val="none" w:sz="0" w:space="0" w:color="auto"/>
        <w:bottom w:val="none" w:sz="0" w:space="0" w:color="auto"/>
        <w:right w:val="none" w:sz="0" w:space="0" w:color="auto"/>
      </w:divBdr>
    </w:div>
    <w:div w:id="1474102703">
      <w:bodyDiv w:val="1"/>
      <w:marLeft w:val="0"/>
      <w:marRight w:val="0"/>
      <w:marTop w:val="0"/>
      <w:marBottom w:val="0"/>
      <w:divBdr>
        <w:top w:val="none" w:sz="0" w:space="0" w:color="auto"/>
        <w:left w:val="none" w:sz="0" w:space="0" w:color="auto"/>
        <w:bottom w:val="none" w:sz="0" w:space="0" w:color="auto"/>
        <w:right w:val="none" w:sz="0" w:space="0" w:color="auto"/>
      </w:divBdr>
    </w:div>
    <w:div w:id="20950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thank-you/demo-video-edop/" TargetMode="External"/><Relationship Id="rId3" Type="http://schemas.openxmlformats.org/officeDocument/2006/relationships/settings" Target="settings.xml"/><Relationship Id="rId7" Type="http://schemas.openxmlformats.org/officeDocument/2006/relationships/hyperlink" Target="https://store.lumina-intelligence.com/product/uk-restaurant-market-report-2022/#1666357153734-24da919f-fb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product/menu-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5</cp:revision>
  <dcterms:created xsi:type="dcterms:W3CDTF">2022-10-27T08:43:00Z</dcterms:created>
  <dcterms:modified xsi:type="dcterms:W3CDTF">2022-10-28T10:26:00Z</dcterms:modified>
</cp:coreProperties>
</file>