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FA41A0" w14:textId="77777777" w:rsidR="00D729EE" w:rsidRPr="00AF1551" w:rsidRDefault="00D729EE" w:rsidP="00D729EE">
      <w:pPr>
        <w:rPr>
          <w:rFonts w:asciiTheme="majorHAnsi" w:hAnsiTheme="majorHAnsi" w:cstheme="majorHAnsi"/>
          <w:b/>
          <w:bCs/>
          <w:color w:val="505050"/>
          <w:sz w:val="18"/>
          <w:szCs w:val="18"/>
        </w:rPr>
      </w:pPr>
      <w:r w:rsidRPr="00AF1551">
        <w:rPr>
          <w:rFonts w:asciiTheme="majorHAnsi" w:hAnsiTheme="majorHAnsi" w:cstheme="majorHAnsi"/>
          <w:b/>
          <w:bCs/>
          <w:noProof/>
          <w:color w:val="505050"/>
          <w:sz w:val="18"/>
          <w:szCs w:val="18"/>
        </w:rPr>
        <w:drawing>
          <wp:anchor distT="0" distB="0" distL="114300" distR="114300" simplePos="0" relativeHeight="251659264" behindDoc="1" locked="0" layoutInCell="1" allowOverlap="1" wp14:anchorId="621EAF8C" wp14:editId="4E417F4D">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Pr="00AF1551">
        <w:rPr>
          <w:rFonts w:asciiTheme="majorHAnsi" w:hAnsiTheme="majorHAnsi" w:cstheme="majorHAnsi"/>
          <w:b/>
          <w:bCs/>
          <w:color w:val="505050"/>
          <w:sz w:val="18"/>
          <w:szCs w:val="18"/>
        </w:rPr>
        <w:t>CONTACT INFORMATION:</w:t>
      </w:r>
    </w:p>
    <w:p w14:paraId="1CB48BDE" w14:textId="77777777" w:rsidR="00D729EE" w:rsidRPr="00AF1551" w:rsidRDefault="00D729EE" w:rsidP="00D729EE">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Lumina Intelligence</w:t>
      </w:r>
    </w:p>
    <w:p w14:paraId="55667720" w14:textId="77777777" w:rsidR="00D729EE" w:rsidRPr="00AF1551" w:rsidRDefault="00D729EE" w:rsidP="00D729EE">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Monica Rico</w:t>
      </w:r>
    </w:p>
    <w:p w14:paraId="56F4D84C" w14:textId="77777777" w:rsidR="00D729EE" w:rsidRPr="00AF1551" w:rsidRDefault="00D729EE" w:rsidP="00D729EE">
      <w:pPr>
        <w:spacing w:after="0" w:line="240" w:lineRule="auto"/>
        <w:rPr>
          <w:rFonts w:asciiTheme="majorHAnsi" w:hAnsiTheme="majorHAnsi" w:cstheme="majorHAnsi"/>
          <w:b/>
          <w:bCs/>
          <w:color w:val="505050"/>
          <w:sz w:val="18"/>
          <w:szCs w:val="18"/>
        </w:rPr>
      </w:pPr>
      <w:r w:rsidRPr="00AF1551">
        <w:rPr>
          <w:rFonts w:asciiTheme="majorHAnsi" w:hAnsiTheme="majorHAnsi" w:cstheme="majorHAnsi"/>
          <w:b/>
          <w:bCs/>
          <w:color w:val="505050"/>
          <w:sz w:val="18"/>
          <w:szCs w:val="18"/>
        </w:rPr>
        <w:t>07423555808</w:t>
      </w:r>
    </w:p>
    <w:p w14:paraId="0A1AB501" w14:textId="77777777" w:rsidR="00D729EE" w:rsidRPr="00AF1551" w:rsidRDefault="00F409CE" w:rsidP="00D729EE">
      <w:pPr>
        <w:spacing w:after="0" w:line="240" w:lineRule="auto"/>
        <w:rPr>
          <w:rStyle w:val="Hyperlink"/>
          <w:rFonts w:asciiTheme="majorHAnsi" w:hAnsiTheme="majorHAnsi" w:cstheme="majorHAnsi"/>
          <w:color w:val="505050"/>
          <w:sz w:val="18"/>
          <w:szCs w:val="18"/>
        </w:rPr>
      </w:pPr>
      <w:hyperlink r:id="rId6" w:history="1">
        <w:r w:rsidR="00D729EE" w:rsidRPr="00AF1551">
          <w:rPr>
            <w:rStyle w:val="Hyperlink"/>
            <w:rFonts w:asciiTheme="majorHAnsi" w:hAnsiTheme="majorHAnsi" w:cstheme="majorHAnsi"/>
            <w:b/>
            <w:bCs/>
            <w:sz w:val="18"/>
            <w:szCs w:val="18"/>
          </w:rPr>
          <w:t>monica.ricocastrillo@lumina-intelligence.co.uk</w:t>
        </w:r>
      </w:hyperlink>
    </w:p>
    <w:p w14:paraId="3D9E8F3A" w14:textId="77777777" w:rsidR="00D729EE" w:rsidRPr="00AF1551" w:rsidRDefault="00D729EE" w:rsidP="00D729EE">
      <w:pPr>
        <w:spacing w:after="0" w:line="240" w:lineRule="auto"/>
        <w:rPr>
          <w:rStyle w:val="Hyperlink"/>
          <w:rFonts w:asciiTheme="majorHAnsi" w:hAnsiTheme="majorHAnsi" w:cstheme="majorHAnsi"/>
          <w:color w:val="505050"/>
          <w:sz w:val="18"/>
          <w:szCs w:val="18"/>
        </w:rPr>
      </w:pPr>
    </w:p>
    <w:p w14:paraId="06E96FD4" w14:textId="5859727A" w:rsidR="00D729EE" w:rsidRPr="00FF5E12" w:rsidRDefault="00D729EE" w:rsidP="00D729EE">
      <w:pPr>
        <w:spacing w:after="0" w:line="240" w:lineRule="auto"/>
        <w:rPr>
          <w:rFonts w:asciiTheme="majorHAnsi" w:hAnsiTheme="majorHAnsi" w:cstheme="majorHAnsi"/>
          <w:b/>
          <w:bCs/>
          <w:color w:val="505050"/>
          <w:sz w:val="18"/>
          <w:szCs w:val="18"/>
          <w:u w:val="single"/>
        </w:rPr>
      </w:pPr>
      <w:r>
        <w:rPr>
          <w:rStyle w:val="Hyperlink"/>
          <w:rFonts w:asciiTheme="majorHAnsi" w:hAnsiTheme="majorHAnsi" w:cstheme="majorHAnsi"/>
          <w:b/>
          <w:bCs/>
          <w:color w:val="505050"/>
          <w:sz w:val="18"/>
          <w:szCs w:val="18"/>
        </w:rPr>
        <w:t>24</w:t>
      </w:r>
      <w:r w:rsidRPr="00FF5E12">
        <w:rPr>
          <w:rStyle w:val="Hyperlink"/>
          <w:rFonts w:asciiTheme="majorHAnsi" w:hAnsiTheme="majorHAnsi" w:cstheme="majorHAnsi"/>
          <w:b/>
          <w:bCs/>
          <w:color w:val="505050"/>
          <w:sz w:val="18"/>
          <w:szCs w:val="18"/>
          <w:vertAlign w:val="superscript"/>
        </w:rPr>
        <w:t>th</w:t>
      </w:r>
      <w:r>
        <w:rPr>
          <w:rStyle w:val="Hyperlink"/>
          <w:rFonts w:asciiTheme="majorHAnsi" w:hAnsiTheme="majorHAnsi" w:cstheme="majorHAnsi"/>
          <w:b/>
          <w:bCs/>
          <w:color w:val="505050"/>
          <w:sz w:val="18"/>
          <w:szCs w:val="18"/>
        </w:rPr>
        <w:t xml:space="preserve"> Novemb</w:t>
      </w:r>
      <w:r w:rsidRPr="00AF1551">
        <w:rPr>
          <w:rStyle w:val="Hyperlink"/>
          <w:rFonts w:asciiTheme="majorHAnsi" w:hAnsiTheme="majorHAnsi" w:cstheme="majorHAnsi"/>
          <w:b/>
          <w:bCs/>
          <w:color w:val="505050"/>
          <w:sz w:val="18"/>
          <w:szCs w:val="18"/>
        </w:rPr>
        <w:t>er 2022</w:t>
      </w:r>
    </w:p>
    <w:p w14:paraId="4473BDA1" w14:textId="77777777" w:rsidR="00D729EE" w:rsidRDefault="00D729EE" w:rsidP="00D729EE">
      <w:pPr>
        <w:rPr>
          <w:b/>
          <w:bCs/>
        </w:rPr>
      </w:pPr>
    </w:p>
    <w:p w14:paraId="273EAA5F" w14:textId="77777777" w:rsidR="00D729EE" w:rsidRDefault="00D729EE" w:rsidP="00D729EE">
      <w:pPr>
        <w:rPr>
          <w:b/>
          <w:bCs/>
        </w:rPr>
      </w:pPr>
    </w:p>
    <w:p w14:paraId="294F3789" w14:textId="189835CA" w:rsidR="00D729EE" w:rsidRDefault="00D729EE">
      <w:pPr>
        <w:rPr>
          <w:b/>
          <w:bCs/>
          <w:sz w:val="32"/>
          <w:szCs w:val="32"/>
        </w:rPr>
      </w:pPr>
      <w:r w:rsidRPr="000F5EDF">
        <w:rPr>
          <w:b/>
          <w:bCs/>
          <w:sz w:val="32"/>
          <w:szCs w:val="32"/>
        </w:rPr>
        <w:t>Recession threat drives negative sentiment, despite some recovery</w:t>
      </w:r>
    </w:p>
    <w:p w14:paraId="22545210" w14:textId="77777777" w:rsidR="005C273E" w:rsidRPr="000F5EDF" w:rsidRDefault="005C273E">
      <w:pPr>
        <w:rPr>
          <w:b/>
          <w:bCs/>
          <w:sz w:val="32"/>
          <w:szCs w:val="32"/>
        </w:rPr>
      </w:pPr>
    </w:p>
    <w:p w14:paraId="76ED2CB3" w14:textId="3E1A1C4D" w:rsidR="00D729EE" w:rsidRPr="005C273E" w:rsidRDefault="00D729EE" w:rsidP="000D4D80">
      <w:pPr>
        <w:rPr>
          <w:sz w:val="20"/>
          <w:szCs w:val="20"/>
        </w:rPr>
      </w:pPr>
      <w:r w:rsidRPr="005C273E">
        <w:rPr>
          <w:sz w:val="20"/>
          <w:szCs w:val="20"/>
        </w:rPr>
        <w:t xml:space="preserve">Lumina Intelligence’s </w:t>
      </w:r>
      <w:hyperlink r:id="rId7" w:history="1">
        <w:r w:rsidRPr="005C273E">
          <w:rPr>
            <w:rStyle w:val="Hyperlink"/>
            <w:color w:val="auto"/>
            <w:sz w:val="20"/>
            <w:szCs w:val="20"/>
          </w:rPr>
          <w:t>Wholesale Market report</w:t>
        </w:r>
      </w:hyperlink>
      <w:r w:rsidRPr="005C273E">
        <w:rPr>
          <w:sz w:val="20"/>
          <w:szCs w:val="20"/>
        </w:rPr>
        <w:t xml:space="preserve"> </w:t>
      </w:r>
      <w:r w:rsidR="00303A3B">
        <w:rPr>
          <w:sz w:val="20"/>
          <w:szCs w:val="20"/>
        </w:rPr>
        <w:t>showcases</w:t>
      </w:r>
      <w:r w:rsidRPr="005C273E">
        <w:rPr>
          <w:sz w:val="20"/>
          <w:szCs w:val="20"/>
        </w:rPr>
        <w:t xml:space="preserve"> </w:t>
      </w:r>
      <w:r w:rsidR="00303A3B">
        <w:rPr>
          <w:sz w:val="20"/>
          <w:szCs w:val="20"/>
        </w:rPr>
        <w:t>that the</w:t>
      </w:r>
      <w:r w:rsidRPr="005C273E">
        <w:rPr>
          <w:sz w:val="20"/>
          <w:szCs w:val="20"/>
        </w:rPr>
        <w:t xml:space="preserve"> majority of business leaders across the grocery retail (54%) and eating out market (58%) are expecting trading conditions to deteriorate to July 2023, with many wholesale customers seeking out support from businesses and government</w:t>
      </w:r>
      <w:r w:rsidR="00E8561B" w:rsidRPr="005C273E">
        <w:rPr>
          <w:sz w:val="20"/>
          <w:szCs w:val="20"/>
        </w:rPr>
        <w:t xml:space="preserve"> as consumer discretionary spend will be hard fought for across the next 6 months.</w:t>
      </w:r>
    </w:p>
    <w:p w14:paraId="379D7E58" w14:textId="4CFF5113" w:rsidR="000D4D80" w:rsidRPr="005C273E" w:rsidRDefault="00E8561B" w:rsidP="000D4D80">
      <w:pPr>
        <w:pStyle w:val="Default"/>
        <w:rPr>
          <w:color w:val="auto"/>
          <w:sz w:val="20"/>
          <w:szCs w:val="20"/>
        </w:rPr>
      </w:pPr>
      <w:r w:rsidRPr="005C273E">
        <w:rPr>
          <w:color w:val="auto"/>
          <w:sz w:val="20"/>
          <w:szCs w:val="20"/>
        </w:rPr>
        <w:t>The</w:t>
      </w:r>
      <w:r w:rsidR="000D4D80" w:rsidRPr="005C273E">
        <w:rPr>
          <w:color w:val="auto"/>
          <w:sz w:val="20"/>
          <w:szCs w:val="20"/>
        </w:rPr>
        <w:t xml:space="preserve"> s</w:t>
      </w:r>
      <w:r w:rsidR="00D729EE" w:rsidRPr="005C273E">
        <w:rPr>
          <w:color w:val="auto"/>
          <w:sz w:val="20"/>
          <w:szCs w:val="20"/>
        </w:rPr>
        <w:t xml:space="preserve">queeze on household budgets has been highlighted by business leaders as the </w:t>
      </w:r>
      <w:r w:rsidR="00D729EE" w:rsidRPr="005C273E">
        <w:rPr>
          <w:b/>
          <w:bCs/>
          <w:color w:val="auto"/>
          <w:sz w:val="20"/>
          <w:szCs w:val="20"/>
        </w:rPr>
        <w:t>most important long-term consumer trend</w:t>
      </w:r>
      <w:r w:rsidR="00D729EE" w:rsidRPr="005C273E">
        <w:rPr>
          <w:color w:val="auto"/>
          <w:sz w:val="20"/>
          <w:szCs w:val="20"/>
        </w:rPr>
        <w:t xml:space="preserve"> impacting eating out and grocery this year</w:t>
      </w:r>
      <w:r w:rsidR="000D4D80" w:rsidRPr="005C273E">
        <w:rPr>
          <w:color w:val="auto"/>
          <w:sz w:val="20"/>
          <w:szCs w:val="20"/>
        </w:rPr>
        <w:t>.</w:t>
      </w:r>
      <w:r w:rsidR="000F5EDF" w:rsidRPr="005C273E">
        <w:rPr>
          <w:color w:val="auto"/>
          <w:sz w:val="20"/>
          <w:szCs w:val="20"/>
        </w:rPr>
        <w:t xml:space="preserve"> </w:t>
      </w:r>
      <w:r w:rsidR="000D4D80" w:rsidRPr="005C273E">
        <w:rPr>
          <w:rFonts w:asciiTheme="minorHAnsi" w:hAnsiTheme="minorHAnsi" w:cstheme="minorHAnsi"/>
          <w:color w:val="auto"/>
          <w:sz w:val="20"/>
          <w:szCs w:val="20"/>
        </w:rPr>
        <w:t xml:space="preserve">Consumer confidence plunged to a new low of –49 in September 2022, boosted by +2 points in October following the announcement of an energy price cap.  </w:t>
      </w:r>
    </w:p>
    <w:p w14:paraId="0E8B3D3E" w14:textId="77777777" w:rsidR="00E8561B" w:rsidRPr="005C273E" w:rsidRDefault="00E8561B" w:rsidP="000D4D80">
      <w:pPr>
        <w:pStyle w:val="Default"/>
        <w:rPr>
          <w:rFonts w:asciiTheme="minorHAnsi" w:hAnsiTheme="minorHAnsi" w:cstheme="minorHAnsi"/>
          <w:color w:val="auto"/>
          <w:sz w:val="20"/>
          <w:szCs w:val="20"/>
        </w:rPr>
      </w:pPr>
    </w:p>
    <w:p w14:paraId="1BE376D1" w14:textId="0E877B8B" w:rsidR="00AF09FD" w:rsidRPr="005C273E" w:rsidRDefault="000D4D80" w:rsidP="00AF09FD">
      <w:pPr>
        <w:pStyle w:val="Default"/>
        <w:rPr>
          <w:color w:val="auto"/>
          <w:sz w:val="20"/>
          <w:szCs w:val="20"/>
        </w:rPr>
      </w:pPr>
      <w:r w:rsidRPr="005C273E">
        <w:rPr>
          <w:rFonts w:asciiTheme="minorHAnsi" w:hAnsiTheme="minorHAnsi" w:cstheme="minorHAnsi"/>
          <w:color w:val="auto"/>
          <w:sz w:val="20"/>
          <w:szCs w:val="20"/>
        </w:rPr>
        <w:t xml:space="preserve">Weaker confidence is likely to see consumers reducing discretionary spend on commodities including food and drink out of home, </w:t>
      </w:r>
      <w:r w:rsidR="00E8561B" w:rsidRPr="005C273E">
        <w:rPr>
          <w:rFonts w:asciiTheme="minorHAnsi" w:hAnsiTheme="minorHAnsi" w:cstheme="minorHAnsi"/>
          <w:color w:val="auto"/>
          <w:sz w:val="20"/>
          <w:szCs w:val="20"/>
        </w:rPr>
        <w:t>prompting</w:t>
      </w:r>
      <w:r w:rsidRPr="005C273E">
        <w:rPr>
          <w:rFonts w:asciiTheme="minorHAnsi" w:hAnsiTheme="minorHAnsi" w:cstheme="minorHAnsi"/>
          <w:color w:val="auto"/>
          <w:sz w:val="20"/>
          <w:szCs w:val="20"/>
        </w:rPr>
        <w:t xml:space="preserve"> o</w:t>
      </w:r>
      <w:r w:rsidRPr="005C273E">
        <w:rPr>
          <w:color w:val="auto"/>
          <w:sz w:val="20"/>
          <w:szCs w:val="20"/>
        </w:rPr>
        <w:t xml:space="preserve">perators across the market </w:t>
      </w:r>
      <w:r w:rsidR="00E8561B" w:rsidRPr="005C273E">
        <w:rPr>
          <w:color w:val="auto"/>
          <w:sz w:val="20"/>
          <w:szCs w:val="20"/>
        </w:rPr>
        <w:t xml:space="preserve">to </w:t>
      </w:r>
      <w:r w:rsidRPr="005C273E">
        <w:rPr>
          <w:color w:val="auto"/>
          <w:sz w:val="20"/>
          <w:szCs w:val="20"/>
        </w:rPr>
        <w:t>implement</w:t>
      </w:r>
      <w:r w:rsidR="00E8561B" w:rsidRPr="005C273E">
        <w:rPr>
          <w:color w:val="auto"/>
          <w:sz w:val="20"/>
          <w:szCs w:val="20"/>
        </w:rPr>
        <w:t xml:space="preserve"> </w:t>
      </w:r>
      <w:r w:rsidRPr="005C273E">
        <w:rPr>
          <w:color w:val="auto"/>
          <w:sz w:val="20"/>
          <w:szCs w:val="20"/>
        </w:rPr>
        <w:t xml:space="preserve">initiatives to aid in the </w:t>
      </w:r>
      <w:r w:rsidR="00E8561B" w:rsidRPr="005C273E">
        <w:rPr>
          <w:color w:val="auto"/>
          <w:sz w:val="20"/>
          <w:szCs w:val="20"/>
        </w:rPr>
        <w:t>cost-of-living</w:t>
      </w:r>
      <w:r w:rsidRPr="005C273E">
        <w:rPr>
          <w:color w:val="auto"/>
          <w:sz w:val="20"/>
          <w:szCs w:val="20"/>
        </w:rPr>
        <w:t xml:space="preserve"> crisis, </w:t>
      </w:r>
      <w:r w:rsidR="000F5EDF" w:rsidRPr="005C273E">
        <w:rPr>
          <w:color w:val="auto"/>
          <w:sz w:val="20"/>
          <w:szCs w:val="20"/>
        </w:rPr>
        <w:t>such as</w:t>
      </w:r>
      <w:r w:rsidRPr="005C273E">
        <w:rPr>
          <w:color w:val="auto"/>
          <w:sz w:val="20"/>
          <w:szCs w:val="20"/>
        </w:rPr>
        <w:t xml:space="preserve"> Brakes’ Simply Steak range, aimed at helping foodservice operators retain beef across menus. </w:t>
      </w:r>
      <w:r w:rsidR="00AF09FD" w:rsidRPr="005C273E">
        <w:rPr>
          <w:color w:val="auto"/>
          <w:sz w:val="20"/>
          <w:szCs w:val="20"/>
        </w:rPr>
        <w:t>Adding to these initiatives, Cold Chain Federatio</w:t>
      </w:r>
      <w:r w:rsidR="00AF09FD" w:rsidRPr="005C273E">
        <w:rPr>
          <w:b/>
          <w:bCs/>
          <w:color w:val="auto"/>
          <w:sz w:val="20"/>
          <w:szCs w:val="20"/>
        </w:rPr>
        <w:t>n</w:t>
      </w:r>
      <w:r w:rsidR="00AF09FD" w:rsidRPr="005C273E">
        <w:rPr>
          <w:color w:val="auto"/>
          <w:sz w:val="20"/>
          <w:szCs w:val="20"/>
        </w:rPr>
        <w:t xml:space="preserve"> has launched a guide to support its members in reducing energy, to lower costs and meet Government targets. The definitive guide offers operators details on temperature-controlled facilities, including to create an energy strategy and what investments can reduce usage. </w:t>
      </w:r>
    </w:p>
    <w:p w14:paraId="260B9DFA" w14:textId="0051F59D" w:rsidR="000D4D80" w:rsidRPr="005C273E" w:rsidRDefault="000D4D80" w:rsidP="000D4D80">
      <w:pPr>
        <w:pStyle w:val="Default"/>
        <w:rPr>
          <w:color w:val="auto"/>
          <w:sz w:val="20"/>
          <w:szCs w:val="20"/>
        </w:rPr>
      </w:pPr>
    </w:p>
    <w:p w14:paraId="4DA73B74" w14:textId="685B256C" w:rsidR="00E8561B" w:rsidRPr="005C273E" w:rsidRDefault="000F5EDF" w:rsidP="00D729EE">
      <w:pPr>
        <w:rPr>
          <w:sz w:val="20"/>
          <w:szCs w:val="20"/>
        </w:rPr>
      </w:pPr>
      <w:r w:rsidRPr="005C273E">
        <w:rPr>
          <w:sz w:val="20"/>
          <w:szCs w:val="20"/>
        </w:rPr>
        <w:t>Despite the hit on overall confidence</w:t>
      </w:r>
      <w:r w:rsidR="00D729EE" w:rsidRPr="005C273E">
        <w:rPr>
          <w:sz w:val="20"/>
          <w:szCs w:val="20"/>
        </w:rPr>
        <w:t>, there are indicatives of recovery,</w:t>
      </w:r>
      <w:r w:rsidR="00E8561B" w:rsidRPr="005C273E">
        <w:rPr>
          <w:sz w:val="20"/>
          <w:szCs w:val="20"/>
        </w:rPr>
        <w:t xml:space="preserve"> and as of today, two thirds of foodservice have not postponed business planning and investment. Sector</w:t>
      </w:r>
      <w:r w:rsidR="00D729EE" w:rsidRPr="005C273E">
        <w:rPr>
          <w:sz w:val="20"/>
          <w:szCs w:val="20"/>
        </w:rPr>
        <w:t xml:space="preserve"> players Brakes and Bidfood are set to see growth of over +20% in 2022, contributing to overall combined turnover growth of +9.7% among the leading nine wholesalers.</w:t>
      </w:r>
    </w:p>
    <w:p w14:paraId="2B5901D1" w14:textId="531E103C" w:rsidR="00D729EE" w:rsidRPr="005C273E" w:rsidRDefault="00E8561B" w:rsidP="00D729EE">
      <w:pPr>
        <w:rPr>
          <w:sz w:val="20"/>
          <w:szCs w:val="20"/>
        </w:rPr>
      </w:pPr>
      <w:r w:rsidRPr="005C273E">
        <w:rPr>
          <w:sz w:val="20"/>
          <w:szCs w:val="20"/>
        </w:rPr>
        <w:t>There is optimism among surveyed professionals in the grocery market</w:t>
      </w:r>
      <w:r w:rsidR="000F5EDF" w:rsidRPr="005C273E">
        <w:rPr>
          <w:sz w:val="20"/>
          <w:szCs w:val="20"/>
        </w:rPr>
        <w:t xml:space="preserve"> too</w:t>
      </w:r>
      <w:r w:rsidRPr="005C273E">
        <w:rPr>
          <w:sz w:val="20"/>
          <w:szCs w:val="20"/>
        </w:rPr>
        <w:t xml:space="preserve">, with belief that there will be opportunities for convenience stores going forward, because of the current economic outlook.  </w:t>
      </w:r>
      <w:r w:rsidR="000F5EDF" w:rsidRPr="005C273E">
        <w:rPr>
          <w:sz w:val="20"/>
          <w:szCs w:val="20"/>
        </w:rPr>
        <w:t>“</w:t>
      </w:r>
      <w:r w:rsidRPr="005C273E">
        <w:rPr>
          <w:sz w:val="20"/>
          <w:szCs w:val="20"/>
        </w:rPr>
        <w:t>An improving outlook due to challenges surrounding covid easing</w:t>
      </w:r>
      <w:r w:rsidR="000F5EDF" w:rsidRPr="005C273E">
        <w:rPr>
          <w:sz w:val="20"/>
          <w:szCs w:val="20"/>
        </w:rPr>
        <w:t>”</w:t>
      </w:r>
      <w:r w:rsidRPr="005C273E">
        <w:rPr>
          <w:sz w:val="20"/>
          <w:szCs w:val="20"/>
        </w:rPr>
        <w:t xml:space="preserve"> were cited in one in four positive responses. </w:t>
      </w:r>
    </w:p>
    <w:p w14:paraId="4361B5DF" w14:textId="059542E0" w:rsidR="000F5EDF" w:rsidRPr="005C273E" w:rsidRDefault="000F5EDF" w:rsidP="00D729EE">
      <w:pPr>
        <w:rPr>
          <w:sz w:val="20"/>
          <w:szCs w:val="20"/>
        </w:rPr>
      </w:pPr>
    </w:p>
    <w:p w14:paraId="2C693293" w14:textId="77777777" w:rsidR="000F5EDF" w:rsidRPr="005C273E" w:rsidRDefault="000F5EDF" w:rsidP="000F5EDF">
      <w:pPr>
        <w:rPr>
          <w:sz w:val="20"/>
          <w:szCs w:val="20"/>
        </w:rPr>
      </w:pPr>
      <w:r w:rsidRPr="005C273E">
        <w:rPr>
          <w:sz w:val="20"/>
          <w:szCs w:val="20"/>
        </w:rPr>
        <w:t>ENDS</w:t>
      </w:r>
    </w:p>
    <w:p w14:paraId="5AC5F643" w14:textId="77777777" w:rsidR="000F5EDF" w:rsidRPr="005C273E" w:rsidRDefault="000F5EDF" w:rsidP="000F5EDF">
      <w:pPr>
        <w:rPr>
          <w:sz w:val="20"/>
          <w:szCs w:val="20"/>
        </w:rPr>
      </w:pPr>
    </w:p>
    <w:p w14:paraId="77853F67" w14:textId="77777777" w:rsidR="000F5EDF" w:rsidRPr="005C273E" w:rsidRDefault="000F5EDF" w:rsidP="000F5EDF">
      <w:pPr>
        <w:rPr>
          <w:rFonts w:cstheme="minorHAnsi"/>
          <w:sz w:val="20"/>
          <w:szCs w:val="20"/>
        </w:rPr>
      </w:pPr>
    </w:p>
    <w:p w14:paraId="4DDE552B" w14:textId="77777777" w:rsidR="000F5EDF" w:rsidRPr="005C273E" w:rsidRDefault="000F5EDF" w:rsidP="000F5EDF">
      <w:pPr>
        <w:rPr>
          <w:rFonts w:cstheme="minorHAnsi"/>
          <w:b/>
          <w:bCs/>
          <w:sz w:val="20"/>
          <w:szCs w:val="20"/>
        </w:rPr>
      </w:pPr>
      <w:r w:rsidRPr="005C273E">
        <w:rPr>
          <w:rFonts w:cstheme="minorHAnsi"/>
          <w:b/>
          <w:bCs/>
          <w:sz w:val="20"/>
          <w:szCs w:val="20"/>
        </w:rPr>
        <w:t>Report Methodology</w:t>
      </w:r>
    </w:p>
    <w:p w14:paraId="2C135CC5" w14:textId="5F3400E8" w:rsidR="00E8561B" w:rsidRPr="005C273E" w:rsidRDefault="000F5EDF" w:rsidP="00D729EE">
      <w:pPr>
        <w:rPr>
          <w:sz w:val="20"/>
          <w:szCs w:val="20"/>
        </w:rPr>
      </w:pPr>
      <w:r w:rsidRPr="005C273E">
        <w:rPr>
          <w:sz w:val="20"/>
          <w:szCs w:val="20"/>
        </w:rPr>
        <w:t xml:space="preserve">The Lumina Intelligence </w:t>
      </w:r>
      <w:r w:rsidRPr="005C273E">
        <w:rPr>
          <w:b/>
          <w:bCs/>
          <w:sz w:val="20"/>
          <w:szCs w:val="20"/>
        </w:rPr>
        <w:t>UK Wholesale Market Report 2022</w:t>
      </w:r>
      <w:r w:rsidRPr="005C273E">
        <w:rPr>
          <w:sz w:val="20"/>
          <w:szCs w:val="20"/>
        </w:rPr>
        <w:t xml:space="preserve"> is the definitive report for the UK wholesale industry. The report comprehensively covers the size of the UK wholesale market and its sub-channels, as well as its competitive landscape, with profiles on the UK’s leading wholesalers.</w:t>
      </w:r>
    </w:p>
    <w:p w14:paraId="64B707D3" w14:textId="1EBE2AD3" w:rsidR="008D4152" w:rsidRPr="005C273E" w:rsidRDefault="008D4152" w:rsidP="008D4152">
      <w:pPr>
        <w:rPr>
          <w:rFonts w:cstheme="minorHAnsi"/>
          <w:sz w:val="20"/>
          <w:szCs w:val="20"/>
        </w:rPr>
      </w:pPr>
      <w:r w:rsidRPr="005C273E">
        <w:rPr>
          <w:rFonts w:cstheme="minorHAnsi"/>
          <w:sz w:val="20"/>
          <w:szCs w:val="20"/>
        </w:rPr>
        <w:t xml:space="preserve">The report was produced through the following Lumina </w:t>
      </w:r>
      <w:r w:rsidR="005C273E" w:rsidRPr="005C273E">
        <w:rPr>
          <w:rFonts w:cstheme="minorHAnsi"/>
          <w:sz w:val="20"/>
          <w:szCs w:val="20"/>
        </w:rPr>
        <w:t>tools</w:t>
      </w:r>
      <w:r w:rsidRPr="005C273E">
        <w:rPr>
          <w:rFonts w:cstheme="minorHAnsi"/>
          <w:sz w:val="20"/>
          <w:szCs w:val="20"/>
        </w:rPr>
        <w:t xml:space="preserve">: </w:t>
      </w:r>
    </w:p>
    <w:p w14:paraId="61DFB86B" w14:textId="7A075EFF" w:rsidR="008D4152" w:rsidRPr="005C273E" w:rsidRDefault="008D4152" w:rsidP="008D4152">
      <w:pPr>
        <w:pStyle w:val="ListParagraph"/>
        <w:numPr>
          <w:ilvl w:val="0"/>
          <w:numId w:val="2"/>
        </w:numPr>
        <w:rPr>
          <w:rFonts w:cstheme="minorHAnsi"/>
          <w:sz w:val="20"/>
          <w:szCs w:val="20"/>
        </w:rPr>
      </w:pPr>
      <w:r w:rsidRPr="005C273E">
        <w:rPr>
          <w:rFonts w:cstheme="minorHAnsi"/>
          <w:b/>
          <w:bCs/>
          <w:sz w:val="20"/>
          <w:szCs w:val="20"/>
        </w:rPr>
        <w:lastRenderedPageBreak/>
        <w:t>Wholesale Market Report Survey 2022</w:t>
      </w:r>
      <w:r w:rsidRPr="005C273E">
        <w:rPr>
          <w:rFonts w:cstheme="minorHAnsi"/>
          <w:sz w:val="20"/>
          <w:szCs w:val="20"/>
        </w:rPr>
        <w:t xml:space="preserve">, with </w:t>
      </w:r>
      <w:r w:rsidR="00F409CE">
        <w:rPr>
          <w:rFonts w:cstheme="minorHAnsi"/>
          <w:sz w:val="20"/>
          <w:szCs w:val="20"/>
        </w:rPr>
        <w:t>400</w:t>
      </w:r>
      <w:r w:rsidRPr="005C273E">
        <w:rPr>
          <w:rFonts w:cstheme="minorHAnsi"/>
          <w:sz w:val="20"/>
          <w:szCs w:val="20"/>
        </w:rPr>
        <w:t xml:space="preserve"> telephone interviews total, conducted during the September-October 2022 period.</w:t>
      </w:r>
    </w:p>
    <w:p w14:paraId="35EE3B0B" w14:textId="77777777" w:rsidR="005C273E" w:rsidRPr="005C273E" w:rsidRDefault="008D4152" w:rsidP="005C273E">
      <w:pPr>
        <w:pStyle w:val="ListParagraph"/>
        <w:numPr>
          <w:ilvl w:val="0"/>
          <w:numId w:val="2"/>
        </w:numPr>
        <w:rPr>
          <w:rFonts w:cstheme="minorHAnsi"/>
          <w:sz w:val="20"/>
          <w:szCs w:val="20"/>
        </w:rPr>
      </w:pPr>
      <w:r w:rsidRPr="005C273E">
        <w:rPr>
          <w:rFonts w:cstheme="minorHAnsi"/>
          <w:b/>
          <w:bCs/>
          <w:sz w:val="20"/>
          <w:szCs w:val="20"/>
        </w:rPr>
        <w:t>Market Sizing &amp; Operator Data Index</w:t>
      </w:r>
      <w:r w:rsidRPr="005C273E">
        <w:rPr>
          <w:rFonts w:cstheme="minorHAnsi"/>
          <w:sz w:val="20"/>
          <w:szCs w:val="20"/>
        </w:rPr>
        <w:t xml:space="preserve">: </w:t>
      </w:r>
      <w:r w:rsidRPr="005C273E">
        <w:rPr>
          <w:color w:val="3D343D"/>
          <w:sz w:val="20"/>
          <w:szCs w:val="20"/>
        </w:rPr>
        <w:t xml:space="preserve">Market sizing data tracking the performance of hospitality, </w:t>
      </w:r>
      <w:proofErr w:type="gramStart"/>
      <w:r w:rsidRPr="005C273E">
        <w:rPr>
          <w:color w:val="3D343D"/>
          <w:sz w:val="20"/>
          <w:szCs w:val="20"/>
        </w:rPr>
        <w:t>grocery</w:t>
      </w:r>
      <w:proofErr w:type="gramEnd"/>
      <w:r w:rsidRPr="005C273E">
        <w:rPr>
          <w:color w:val="3D343D"/>
          <w:sz w:val="20"/>
          <w:szCs w:val="20"/>
        </w:rPr>
        <w:t xml:space="preserve"> and wholesale operators, based on turnover and outlet numbers.</w:t>
      </w:r>
    </w:p>
    <w:p w14:paraId="63A3428B" w14:textId="49F33FDF" w:rsidR="008D4152" w:rsidRPr="005C273E" w:rsidRDefault="008D4152" w:rsidP="005C273E">
      <w:pPr>
        <w:pStyle w:val="ListParagraph"/>
        <w:numPr>
          <w:ilvl w:val="0"/>
          <w:numId w:val="2"/>
        </w:numPr>
        <w:rPr>
          <w:rFonts w:cstheme="minorHAnsi"/>
          <w:sz w:val="20"/>
          <w:szCs w:val="20"/>
        </w:rPr>
      </w:pPr>
      <w:r w:rsidRPr="005C273E">
        <w:rPr>
          <w:rFonts w:cstheme="minorHAnsi"/>
          <w:b/>
          <w:bCs/>
          <w:sz w:val="20"/>
          <w:szCs w:val="20"/>
        </w:rPr>
        <w:t>Top of Mind Business Leaders Survey</w:t>
      </w:r>
      <w:r w:rsidR="005C273E" w:rsidRPr="005C273E">
        <w:rPr>
          <w:rFonts w:cstheme="minorHAnsi"/>
          <w:sz w:val="20"/>
          <w:szCs w:val="20"/>
        </w:rPr>
        <w:t xml:space="preserve">: </w:t>
      </w:r>
      <w:r w:rsidR="005C273E" w:rsidRPr="005C273E">
        <w:rPr>
          <w:color w:val="3D343D"/>
          <w:sz w:val="20"/>
          <w:szCs w:val="20"/>
        </w:rPr>
        <w:t>Lumina Intelligence Top of Mind business leaders survey is an online questionnaire targeted at industry professionals across the eating out and grocery retail markets, focused on understanding the current trading environment, challenges and growth opportunities. For the Wholesale Market Report 2022 we tracked responses from 100 leaders working in senior management positions.</w:t>
      </w:r>
    </w:p>
    <w:p w14:paraId="13E61F9D" w14:textId="77777777" w:rsidR="005C273E" w:rsidRPr="005C273E" w:rsidRDefault="005C273E" w:rsidP="005C273E">
      <w:pPr>
        <w:rPr>
          <w:rFonts w:cstheme="minorHAnsi"/>
          <w:sz w:val="20"/>
          <w:szCs w:val="20"/>
        </w:rPr>
      </w:pPr>
    </w:p>
    <w:p w14:paraId="3150000C" w14:textId="77777777" w:rsidR="005C273E" w:rsidRPr="005C273E" w:rsidRDefault="005C273E" w:rsidP="005C273E">
      <w:pPr>
        <w:rPr>
          <w:b/>
          <w:bCs/>
          <w:sz w:val="20"/>
          <w:szCs w:val="20"/>
        </w:rPr>
      </w:pPr>
      <w:r w:rsidRPr="005C273E">
        <w:rPr>
          <w:b/>
          <w:bCs/>
          <w:sz w:val="20"/>
          <w:szCs w:val="20"/>
        </w:rPr>
        <w:t>About Lumina Intelligence</w:t>
      </w:r>
    </w:p>
    <w:p w14:paraId="6913AEFA" w14:textId="651EA4EC" w:rsidR="008D4152" w:rsidRPr="005C273E" w:rsidRDefault="005C273E" w:rsidP="005C273E">
      <w:pPr>
        <w:rPr>
          <w:sz w:val="20"/>
          <w:szCs w:val="20"/>
        </w:rPr>
      </w:pPr>
      <w:r w:rsidRPr="005C273E">
        <w:rPr>
          <w:sz w:val="20"/>
          <w:szCs w:val="20"/>
        </w:rPr>
        <w:t>Lumina Intelligence inspires the global food and drink sector with deep, actionable insights powered by the world’s best analytics technology. Our products and services are used by the major brands and organisations in these fast-moving and growing markets to support business planning, strategic marketing, and new product development.</w:t>
      </w:r>
    </w:p>
    <w:p w14:paraId="0CD60CB5" w14:textId="77777777" w:rsidR="00D729EE" w:rsidRDefault="00D729EE"/>
    <w:sectPr w:rsidR="00D729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7A6A4A"/>
    <w:multiLevelType w:val="hybridMultilevel"/>
    <w:tmpl w:val="A8FC59C8"/>
    <w:lvl w:ilvl="0" w:tplc="BA2A77EA">
      <w:start w:val="1"/>
      <w:numFmt w:val="bullet"/>
      <w:lvlText w:val="•"/>
      <w:lvlJc w:val="left"/>
      <w:pPr>
        <w:tabs>
          <w:tab w:val="num" w:pos="720"/>
        </w:tabs>
        <w:ind w:left="720" w:hanging="360"/>
      </w:pPr>
      <w:rPr>
        <w:rFonts w:ascii="Arial" w:hAnsi="Arial" w:cs="Times New Roman" w:hint="default"/>
      </w:rPr>
    </w:lvl>
    <w:lvl w:ilvl="1" w:tplc="A9F47CBC">
      <w:start w:val="1"/>
      <w:numFmt w:val="bullet"/>
      <w:lvlText w:val="•"/>
      <w:lvlJc w:val="left"/>
      <w:pPr>
        <w:tabs>
          <w:tab w:val="num" w:pos="1440"/>
        </w:tabs>
        <w:ind w:left="1440" w:hanging="360"/>
      </w:pPr>
      <w:rPr>
        <w:rFonts w:ascii="Arial" w:hAnsi="Arial" w:cs="Times New Roman" w:hint="default"/>
      </w:rPr>
    </w:lvl>
    <w:lvl w:ilvl="2" w:tplc="B868EB30">
      <w:start w:val="1"/>
      <w:numFmt w:val="bullet"/>
      <w:lvlText w:val="•"/>
      <w:lvlJc w:val="left"/>
      <w:pPr>
        <w:tabs>
          <w:tab w:val="num" w:pos="2160"/>
        </w:tabs>
        <w:ind w:left="2160" w:hanging="360"/>
      </w:pPr>
      <w:rPr>
        <w:rFonts w:ascii="Arial" w:hAnsi="Arial" w:cs="Times New Roman" w:hint="default"/>
      </w:rPr>
    </w:lvl>
    <w:lvl w:ilvl="3" w:tplc="1F28A484">
      <w:start w:val="1"/>
      <w:numFmt w:val="bullet"/>
      <w:lvlText w:val="•"/>
      <w:lvlJc w:val="left"/>
      <w:pPr>
        <w:tabs>
          <w:tab w:val="num" w:pos="2880"/>
        </w:tabs>
        <w:ind w:left="2880" w:hanging="360"/>
      </w:pPr>
      <w:rPr>
        <w:rFonts w:ascii="Arial" w:hAnsi="Arial" w:cs="Times New Roman" w:hint="default"/>
      </w:rPr>
    </w:lvl>
    <w:lvl w:ilvl="4" w:tplc="D638A41C">
      <w:start w:val="1"/>
      <w:numFmt w:val="bullet"/>
      <w:lvlText w:val="•"/>
      <w:lvlJc w:val="left"/>
      <w:pPr>
        <w:tabs>
          <w:tab w:val="num" w:pos="3600"/>
        </w:tabs>
        <w:ind w:left="3600" w:hanging="360"/>
      </w:pPr>
      <w:rPr>
        <w:rFonts w:ascii="Arial" w:hAnsi="Arial" w:cs="Times New Roman" w:hint="default"/>
      </w:rPr>
    </w:lvl>
    <w:lvl w:ilvl="5" w:tplc="47308BC6">
      <w:start w:val="1"/>
      <w:numFmt w:val="bullet"/>
      <w:lvlText w:val="•"/>
      <w:lvlJc w:val="left"/>
      <w:pPr>
        <w:tabs>
          <w:tab w:val="num" w:pos="4320"/>
        </w:tabs>
        <w:ind w:left="4320" w:hanging="360"/>
      </w:pPr>
      <w:rPr>
        <w:rFonts w:ascii="Arial" w:hAnsi="Arial" w:cs="Times New Roman" w:hint="default"/>
      </w:rPr>
    </w:lvl>
    <w:lvl w:ilvl="6" w:tplc="B088DE42">
      <w:start w:val="1"/>
      <w:numFmt w:val="bullet"/>
      <w:lvlText w:val="•"/>
      <w:lvlJc w:val="left"/>
      <w:pPr>
        <w:tabs>
          <w:tab w:val="num" w:pos="5040"/>
        </w:tabs>
        <w:ind w:left="5040" w:hanging="360"/>
      </w:pPr>
      <w:rPr>
        <w:rFonts w:ascii="Arial" w:hAnsi="Arial" w:cs="Times New Roman" w:hint="default"/>
      </w:rPr>
    </w:lvl>
    <w:lvl w:ilvl="7" w:tplc="413034FC">
      <w:start w:val="1"/>
      <w:numFmt w:val="bullet"/>
      <w:lvlText w:val="•"/>
      <w:lvlJc w:val="left"/>
      <w:pPr>
        <w:tabs>
          <w:tab w:val="num" w:pos="5760"/>
        </w:tabs>
        <w:ind w:left="5760" w:hanging="360"/>
      </w:pPr>
      <w:rPr>
        <w:rFonts w:ascii="Arial" w:hAnsi="Arial" w:cs="Times New Roman" w:hint="default"/>
      </w:rPr>
    </w:lvl>
    <w:lvl w:ilvl="8" w:tplc="EEE2F016">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74A76D41"/>
    <w:multiLevelType w:val="hybridMultilevel"/>
    <w:tmpl w:val="006A2E54"/>
    <w:lvl w:ilvl="0" w:tplc="2E0877A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EE"/>
    <w:rsid w:val="000D4D80"/>
    <w:rsid w:val="000F5EDF"/>
    <w:rsid w:val="00303A3B"/>
    <w:rsid w:val="005C273E"/>
    <w:rsid w:val="008D4152"/>
    <w:rsid w:val="00AF09FD"/>
    <w:rsid w:val="00CA6B66"/>
    <w:rsid w:val="00D729EE"/>
    <w:rsid w:val="00E465FF"/>
    <w:rsid w:val="00E8561B"/>
    <w:rsid w:val="00F409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404AE"/>
  <w15:chartTrackingRefBased/>
  <w15:docId w15:val="{24399368-4AD5-4663-84F2-D4ABABA2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9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29EE"/>
    <w:rPr>
      <w:color w:val="0563C1" w:themeColor="hyperlink"/>
      <w:u w:val="single"/>
    </w:rPr>
  </w:style>
  <w:style w:type="paragraph" w:customStyle="1" w:styleId="Default">
    <w:name w:val="Default"/>
    <w:rsid w:val="00D729E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D729EE"/>
    <w:rPr>
      <w:color w:val="605E5C"/>
      <w:shd w:val="clear" w:color="auto" w:fill="E1DFDD"/>
    </w:rPr>
  </w:style>
  <w:style w:type="paragraph" w:styleId="ListParagraph">
    <w:name w:val="List Paragraph"/>
    <w:basedOn w:val="Normal"/>
    <w:uiPriority w:val="34"/>
    <w:qFormat/>
    <w:rsid w:val="008D4152"/>
    <w:pPr>
      <w:ind w:left="720"/>
      <w:contextualSpacing/>
    </w:pPr>
  </w:style>
  <w:style w:type="character" w:styleId="CommentReference">
    <w:name w:val="annotation reference"/>
    <w:basedOn w:val="DefaultParagraphFont"/>
    <w:uiPriority w:val="99"/>
    <w:semiHidden/>
    <w:unhideWhenUsed/>
    <w:rsid w:val="00CA6B66"/>
    <w:rPr>
      <w:sz w:val="16"/>
      <w:szCs w:val="16"/>
    </w:rPr>
  </w:style>
  <w:style w:type="paragraph" w:styleId="CommentText">
    <w:name w:val="annotation text"/>
    <w:basedOn w:val="Normal"/>
    <w:link w:val="CommentTextChar"/>
    <w:uiPriority w:val="99"/>
    <w:semiHidden/>
    <w:unhideWhenUsed/>
    <w:rsid w:val="00CA6B66"/>
    <w:pPr>
      <w:spacing w:line="240" w:lineRule="auto"/>
    </w:pPr>
    <w:rPr>
      <w:sz w:val="20"/>
      <w:szCs w:val="20"/>
    </w:rPr>
  </w:style>
  <w:style w:type="character" w:customStyle="1" w:styleId="CommentTextChar">
    <w:name w:val="Comment Text Char"/>
    <w:basedOn w:val="DefaultParagraphFont"/>
    <w:link w:val="CommentText"/>
    <w:uiPriority w:val="99"/>
    <w:semiHidden/>
    <w:rsid w:val="00CA6B66"/>
    <w:rPr>
      <w:sz w:val="20"/>
      <w:szCs w:val="20"/>
    </w:rPr>
  </w:style>
  <w:style w:type="paragraph" w:styleId="CommentSubject">
    <w:name w:val="annotation subject"/>
    <w:basedOn w:val="CommentText"/>
    <w:next w:val="CommentText"/>
    <w:link w:val="CommentSubjectChar"/>
    <w:uiPriority w:val="99"/>
    <w:semiHidden/>
    <w:unhideWhenUsed/>
    <w:rsid w:val="00CA6B66"/>
    <w:rPr>
      <w:b/>
      <w:bCs/>
    </w:rPr>
  </w:style>
  <w:style w:type="character" w:customStyle="1" w:styleId="CommentSubjectChar">
    <w:name w:val="Comment Subject Char"/>
    <w:basedOn w:val="CommentTextChar"/>
    <w:link w:val="CommentSubject"/>
    <w:uiPriority w:val="99"/>
    <w:semiHidden/>
    <w:rsid w:val="00CA6B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979403">
      <w:bodyDiv w:val="1"/>
      <w:marLeft w:val="0"/>
      <w:marRight w:val="0"/>
      <w:marTop w:val="0"/>
      <w:marBottom w:val="0"/>
      <w:divBdr>
        <w:top w:val="none" w:sz="0" w:space="0" w:color="auto"/>
        <w:left w:val="none" w:sz="0" w:space="0" w:color="auto"/>
        <w:bottom w:val="none" w:sz="0" w:space="0" w:color="auto"/>
        <w:right w:val="none" w:sz="0" w:space="0" w:color="auto"/>
      </w:divBdr>
    </w:div>
    <w:div w:id="185148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ore.lumina-intelligence.com/product/wholesale-market-report-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nica.ricocastrillo@lumina-intelligence.co.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William Reed</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Rico Castrillo</dc:creator>
  <cp:keywords/>
  <dc:description/>
  <cp:lastModifiedBy>Monica Rico Castrillo</cp:lastModifiedBy>
  <cp:revision>3</cp:revision>
  <dcterms:created xsi:type="dcterms:W3CDTF">2022-11-24T10:27:00Z</dcterms:created>
  <dcterms:modified xsi:type="dcterms:W3CDTF">2022-11-24T10:27:00Z</dcterms:modified>
</cp:coreProperties>
</file>