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814D" w14:textId="77777777" w:rsidR="002B5973" w:rsidRPr="002B5973" w:rsidRDefault="002B5973" w:rsidP="002B5973">
      <w:pPr>
        <w:spacing w:after="0" w:line="240" w:lineRule="auto"/>
        <w:rPr>
          <w:rFonts w:asciiTheme="majorHAnsi" w:hAnsiTheme="majorHAnsi" w:cstheme="majorHAnsi"/>
          <w:b/>
          <w:bCs/>
          <w:sz w:val="18"/>
          <w:szCs w:val="18"/>
        </w:rPr>
      </w:pPr>
      <w:r w:rsidRPr="002B5973">
        <w:rPr>
          <w:rFonts w:asciiTheme="majorHAnsi" w:hAnsiTheme="majorHAnsi" w:cstheme="majorHAnsi"/>
          <w:b/>
          <w:bCs/>
          <w:noProof/>
          <w:sz w:val="18"/>
          <w:szCs w:val="18"/>
        </w:rPr>
        <w:drawing>
          <wp:anchor distT="0" distB="0" distL="114300" distR="114300" simplePos="0" relativeHeight="251659264" behindDoc="1" locked="0" layoutInCell="1" allowOverlap="1" wp14:anchorId="1791A0F1" wp14:editId="48D7F23A">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2B5973">
        <w:rPr>
          <w:rFonts w:asciiTheme="majorHAnsi" w:hAnsiTheme="majorHAnsi" w:cstheme="majorHAnsi"/>
          <w:b/>
          <w:bCs/>
          <w:sz w:val="18"/>
          <w:szCs w:val="18"/>
        </w:rPr>
        <w:t>CONTACT INFORMATION:</w:t>
      </w:r>
    </w:p>
    <w:p w14:paraId="57B123E3" w14:textId="77777777" w:rsidR="002B5973" w:rsidRPr="002B5973" w:rsidRDefault="002B5973" w:rsidP="002B5973">
      <w:pPr>
        <w:spacing w:after="0" w:line="240" w:lineRule="auto"/>
        <w:rPr>
          <w:rFonts w:asciiTheme="majorHAnsi" w:hAnsiTheme="majorHAnsi" w:cstheme="majorHAnsi"/>
          <w:b/>
          <w:bCs/>
          <w:sz w:val="18"/>
          <w:szCs w:val="18"/>
        </w:rPr>
      </w:pPr>
      <w:r w:rsidRPr="002B5973">
        <w:rPr>
          <w:rFonts w:asciiTheme="majorHAnsi" w:hAnsiTheme="majorHAnsi" w:cstheme="majorHAnsi"/>
          <w:b/>
          <w:bCs/>
          <w:sz w:val="18"/>
          <w:szCs w:val="18"/>
        </w:rPr>
        <w:t>Lumina Intelligence</w:t>
      </w:r>
    </w:p>
    <w:p w14:paraId="41BAAF28" w14:textId="77777777" w:rsidR="002B5973" w:rsidRPr="002B5973" w:rsidRDefault="002B5973" w:rsidP="002B5973">
      <w:pPr>
        <w:spacing w:after="0" w:line="240" w:lineRule="auto"/>
        <w:rPr>
          <w:rFonts w:asciiTheme="majorHAnsi" w:hAnsiTheme="majorHAnsi" w:cstheme="majorHAnsi"/>
          <w:b/>
          <w:bCs/>
          <w:sz w:val="18"/>
          <w:szCs w:val="18"/>
        </w:rPr>
      </w:pPr>
      <w:r w:rsidRPr="002B5973">
        <w:rPr>
          <w:rFonts w:asciiTheme="majorHAnsi" w:hAnsiTheme="majorHAnsi" w:cstheme="majorHAnsi"/>
          <w:b/>
          <w:bCs/>
          <w:sz w:val="18"/>
          <w:szCs w:val="18"/>
        </w:rPr>
        <w:t>Monica Rico</w:t>
      </w:r>
    </w:p>
    <w:p w14:paraId="31DE5664" w14:textId="77777777" w:rsidR="002B5973" w:rsidRPr="002B5973" w:rsidRDefault="002B5973" w:rsidP="002B5973">
      <w:pPr>
        <w:spacing w:after="0" w:line="240" w:lineRule="auto"/>
        <w:rPr>
          <w:rFonts w:asciiTheme="majorHAnsi" w:hAnsiTheme="majorHAnsi" w:cstheme="majorHAnsi"/>
          <w:b/>
          <w:bCs/>
          <w:sz w:val="18"/>
          <w:szCs w:val="18"/>
        </w:rPr>
      </w:pPr>
      <w:r w:rsidRPr="002B5973">
        <w:rPr>
          <w:rFonts w:asciiTheme="majorHAnsi" w:hAnsiTheme="majorHAnsi" w:cstheme="majorHAnsi"/>
          <w:b/>
          <w:bCs/>
          <w:sz w:val="18"/>
          <w:szCs w:val="18"/>
        </w:rPr>
        <w:t>07423555808</w:t>
      </w:r>
    </w:p>
    <w:p w14:paraId="39A51165" w14:textId="77777777" w:rsidR="002B5973" w:rsidRPr="002B5973" w:rsidRDefault="00BB761B" w:rsidP="002B5973">
      <w:pPr>
        <w:spacing w:after="0" w:line="240" w:lineRule="auto"/>
        <w:rPr>
          <w:rFonts w:asciiTheme="majorHAnsi" w:hAnsiTheme="majorHAnsi" w:cstheme="majorHAnsi"/>
          <w:sz w:val="18"/>
          <w:szCs w:val="18"/>
          <w:u w:val="single"/>
        </w:rPr>
      </w:pPr>
      <w:hyperlink r:id="rId6" w:history="1">
        <w:r w:rsidR="002B5973" w:rsidRPr="002B5973">
          <w:rPr>
            <w:rFonts w:asciiTheme="majorHAnsi" w:hAnsiTheme="majorHAnsi" w:cstheme="majorHAnsi"/>
            <w:b/>
            <w:bCs/>
            <w:sz w:val="18"/>
            <w:szCs w:val="18"/>
            <w:u w:val="single"/>
          </w:rPr>
          <w:t>monica.ricocastrillo@lumina-intelligence.co.uk</w:t>
        </w:r>
      </w:hyperlink>
    </w:p>
    <w:p w14:paraId="0C992C15" w14:textId="77777777" w:rsidR="002B5973" w:rsidRPr="002B5973" w:rsidRDefault="002B5973" w:rsidP="002B5973">
      <w:pPr>
        <w:spacing w:after="0" w:line="240" w:lineRule="auto"/>
        <w:rPr>
          <w:rFonts w:asciiTheme="majorHAnsi" w:hAnsiTheme="majorHAnsi" w:cstheme="majorHAnsi"/>
          <w:sz w:val="18"/>
          <w:szCs w:val="18"/>
          <w:u w:val="single"/>
        </w:rPr>
      </w:pPr>
    </w:p>
    <w:p w14:paraId="6B3CD3AE" w14:textId="7DFA77E8" w:rsidR="002B5973" w:rsidRPr="002B5973" w:rsidRDefault="00893411" w:rsidP="002B5973">
      <w:pPr>
        <w:spacing w:after="0" w:line="240" w:lineRule="auto"/>
        <w:rPr>
          <w:rFonts w:asciiTheme="majorHAnsi" w:hAnsiTheme="majorHAnsi" w:cstheme="majorHAnsi"/>
          <w:b/>
          <w:bCs/>
          <w:sz w:val="18"/>
          <w:szCs w:val="18"/>
          <w:u w:val="single"/>
        </w:rPr>
      </w:pPr>
      <w:r>
        <w:rPr>
          <w:rFonts w:asciiTheme="majorHAnsi" w:hAnsiTheme="majorHAnsi" w:cstheme="majorHAnsi"/>
          <w:b/>
          <w:bCs/>
          <w:sz w:val="18"/>
          <w:szCs w:val="18"/>
          <w:u w:val="single"/>
        </w:rPr>
        <w:t>6</w:t>
      </w:r>
      <w:r w:rsidR="002B5973" w:rsidRPr="002B5973">
        <w:rPr>
          <w:rFonts w:asciiTheme="majorHAnsi" w:hAnsiTheme="majorHAnsi" w:cstheme="majorHAnsi"/>
          <w:b/>
          <w:bCs/>
          <w:sz w:val="18"/>
          <w:szCs w:val="18"/>
          <w:u w:val="single"/>
          <w:vertAlign w:val="superscript"/>
        </w:rPr>
        <w:t>th</w:t>
      </w:r>
      <w:r w:rsidR="002B5973" w:rsidRPr="002B5973">
        <w:rPr>
          <w:rFonts w:asciiTheme="majorHAnsi" w:hAnsiTheme="majorHAnsi" w:cstheme="majorHAnsi"/>
          <w:b/>
          <w:bCs/>
          <w:sz w:val="18"/>
          <w:szCs w:val="18"/>
          <w:u w:val="single"/>
        </w:rPr>
        <w:t xml:space="preserve"> </w:t>
      </w:r>
      <w:r>
        <w:rPr>
          <w:rFonts w:asciiTheme="majorHAnsi" w:hAnsiTheme="majorHAnsi" w:cstheme="majorHAnsi"/>
          <w:b/>
          <w:bCs/>
          <w:sz w:val="18"/>
          <w:szCs w:val="18"/>
          <w:u w:val="single"/>
        </w:rPr>
        <w:t>January</w:t>
      </w:r>
      <w:r w:rsidR="002B5973" w:rsidRPr="002B5973">
        <w:rPr>
          <w:rFonts w:asciiTheme="majorHAnsi" w:hAnsiTheme="majorHAnsi" w:cstheme="majorHAnsi"/>
          <w:b/>
          <w:bCs/>
          <w:sz w:val="18"/>
          <w:szCs w:val="18"/>
          <w:u w:val="single"/>
        </w:rPr>
        <w:t xml:space="preserve"> 2022</w:t>
      </w:r>
    </w:p>
    <w:p w14:paraId="2C03F5DE" w14:textId="77777777" w:rsidR="0003672A" w:rsidRPr="002B5973" w:rsidRDefault="0003672A" w:rsidP="0003672A">
      <w:pPr>
        <w:pStyle w:val="Default"/>
        <w:rPr>
          <w:color w:val="auto"/>
        </w:rPr>
      </w:pPr>
    </w:p>
    <w:p w14:paraId="05B54CDD" w14:textId="77777777" w:rsidR="00FB4388" w:rsidRPr="002B5973" w:rsidRDefault="00FB4388" w:rsidP="0003672A">
      <w:pPr>
        <w:pStyle w:val="Default"/>
        <w:rPr>
          <w:b/>
          <w:bCs/>
          <w:color w:val="auto"/>
          <w:sz w:val="32"/>
          <w:szCs w:val="32"/>
        </w:rPr>
      </w:pPr>
    </w:p>
    <w:p w14:paraId="3C69D229" w14:textId="77777777" w:rsidR="002B5973" w:rsidRPr="002B5973" w:rsidRDefault="002B5973" w:rsidP="0003672A">
      <w:pPr>
        <w:pStyle w:val="Default"/>
        <w:rPr>
          <w:b/>
          <w:bCs/>
          <w:color w:val="auto"/>
          <w:sz w:val="32"/>
          <w:szCs w:val="32"/>
        </w:rPr>
      </w:pPr>
    </w:p>
    <w:p w14:paraId="61180A42" w14:textId="53B35D38" w:rsidR="00A7696A" w:rsidRPr="002B5973" w:rsidRDefault="00877F71" w:rsidP="0003672A">
      <w:pPr>
        <w:pStyle w:val="Default"/>
        <w:rPr>
          <w:b/>
          <w:bCs/>
          <w:color w:val="auto"/>
          <w:sz w:val="32"/>
          <w:szCs w:val="32"/>
        </w:rPr>
      </w:pPr>
      <w:r>
        <w:rPr>
          <w:b/>
          <w:bCs/>
          <w:color w:val="auto"/>
          <w:sz w:val="32"/>
          <w:szCs w:val="32"/>
        </w:rPr>
        <w:t xml:space="preserve">Veganuary to the Rescue: </w:t>
      </w:r>
      <w:r w:rsidR="00A7696A">
        <w:rPr>
          <w:b/>
          <w:bCs/>
          <w:color w:val="auto"/>
          <w:sz w:val="32"/>
          <w:szCs w:val="32"/>
        </w:rPr>
        <w:t>Operators lean on Healthier Eating trend to manage costs as inflation soars</w:t>
      </w:r>
    </w:p>
    <w:p w14:paraId="1DBE8CC8" w14:textId="77777777" w:rsidR="0003672A" w:rsidRPr="002B5973" w:rsidRDefault="0003672A" w:rsidP="0003672A">
      <w:pPr>
        <w:pStyle w:val="Default"/>
        <w:rPr>
          <w:b/>
          <w:bCs/>
          <w:color w:val="auto"/>
        </w:rPr>
      </w:pPr>
    </w:p>
    <w:p w14:paraId="5C6A03EE" w14:textId="77777777" w:rsidR="00D23C07" w:rsidRPr="00D23C07" w:rsidRDefault="00D23C07" w:rsidP="00D23C07">
      <w:pPr>
        <w:pStyle w:val="Default"/>
        <w:rPr>
          <w:b/>
          <w:bCs/>
        </w:rPr>
      </w:pPr>
    </w:p>
    <w:p w14:paraId="7ADA60AE" w14:textId="508CF12A" w:rsidR="00D23C07" w:rsidRPr="0003715F" w:rsidRDefault="00D23C07" w:rsidP="0003715F">
      <w:pPr>
        <w:rPr>
          <w:rFonts w:ascii="Arial" w:hAnsi="Arial" w:cs="Arial"/>
          <w:color w:val="2F5496"/>
        </w:rPr>
      </w:pPr>
      <w:r w:rsidRPr="00D23C07">
        <w:t>Since Spring/Summer 2022, restaurant, and pub &amp; bar same-line dish</w:t>
      </w:r>
      <w:r w:rsidR="0003715F">
        <w:t>*</w:t>
      </w:r>
      <w:r w:rsidRPr="00D23C07">
        <w:t xml:space="preserve"> price inflation has increased to </w:t>
      </w:r>
      <w:r w:rsidRPr="00D23C07">
        <w:rPr>
          <w:b/>
          <w:bCs/>
        </w:rPr>
        <w:t>+7.9%</w:t>
      </w:r>
      <w:r w:rsidRPr="00D23C07">
        <w:t xml:space="preserve"> and </w:t>
      </w:r>
      <w:r w:rsidRPr="00D23C07">
        <w:rPr>
          <w:b/>
          <w:bCs/>
        </w:rPr>
        <w:t>+7.2%</w:t>
      </w:r>
      <w:r w:rsidRPr="00D23C07">
        <w:t xml:space="preserve"> respectively</w:t>
      </w:r>
      <w:r w:rsidRPr="0003715F">
        <w:t xml:space="preserve">. </w:t>
      </w:r>
      <w:r w:rsidRPr="00D23C07">
        <w:t xml:space="preserve">Inflationary pressures alongside cost increases have forced operators to increase prices at a </w:t>
      </w:r>
      <w:r w:rsidRPr="00D23C07">
        <w:rPr>
          <w:b/>
          <w:bCs/>
        </w:rPr>
        <w:t>higher rate in 2022</w:t>
      </w:r>
      <w:r w:rsidRPr="00D23C07">
        <w:t xml:space="preserve">, and operators are capitalising on </w:t>
      </w:r>
      <w:r w:rsidRPr="00D23C07">
        <w:rPr>
          <w:b/>
          <w:bCs/>
        </w:rPr>
        <w:t>healthier eating</w:t>
      </w:r>
      <w:r>
        <w:t xml:space="preserve"> and </w:t>
      </w:r>
      <w:r w:rsidRPr="00D23C07">
        <w:rPr>
          <w:b/>
          <w:bCs/>
        </w:rPr>
        <w:t>sustainability</w:t>
      </w:r>
      <w:r>
        <w:t xml:space="preserve"> </w:t>
      </w:r>
      <w:r w:rsidRPr="00D23C07">
        <w:t xml:space="preserve">food trends </w:t>
      </w:r>
      <w:r>
        <w:t>to</w:t>
      </w:r>
      <w:r w:rsidRPr="00D23C07">
        <w:t xml:space="preserve"> manag</w:t>
      </w:r>
      <w:r>
        <w:t xml:space="preserve">e </w:t>
      </w:r>
      <w:r w:rsidRPr="00D23C07">
        <w:t xml:space="preserve">costs. </w:t>
      </w:r>
    </w:p>
    <w:p w14:paraId="127626D8" w14:textId="77777777" w:rsidR="00D23C07" w:rsidRDefault="00D23C07" w:rsidP="0003672A">
      <w:pPr>
        <w:pStyle w:val="Default"/>
        <w:rPr>
          <w:b/>
          <w:bCs/>
          <w:color w:val="auto"/>
        </w:rPr>
      </w:pPr>
    </w:p>
    <w:p w14:paraId="4E292107" w14:textId="04DF86AB" w:rsidR="00935362" w:rsidRPr="002B5973" w:rsidRDefault="00347A85" w:rsidP="0003672A">
      <w:pPr>
        <w:pStyle w:val="Default"/>
        <w:rPr>
          <w:color w:val="auto"/>
        </w:rPr>
      </w:pPr>
      <w:r w:rsidRPr="00D23C07">
        <w:rPr>
          <w:color w:val="auto"/>
        </w:rPr>
        <w:t xml:space="preserve">New year resolutions aside, </w:t>
      </w:r>
      <w:r w:rsidR="00A7696A" w:rsidRPr="00D23C07">
        <w:rPr>
          <w:b/>
          <w:bCs/>
          <w:color w:val="auto"/>
        </w:rPr>
        <w:t>health-consciousness</w:t>
      </w:r>
      <w:r w:rsidR="00A7696A" w:rsidRPr="00D23C07">
        <w:rPr>
          <w:color w:val="auto"/>
        </w:rPr>
        <w:t xml:space="preserve"> </w:t>
      </w:r>
      <w:r w:rsidR="00D23C07">
        <w:rPr>
          <w:color w:val="auto"/>
        </w:rPr>
        <w:t xml:space="preserve"> and a focus on sustainability </w:t>
      </w:r>
      <w:r>
        <w:rPr>
          <w:color w:val="auto"/>
        </w:rPr>
        <w:t>w</w:t>
      </w:r>
      <w:r w:rsidR="00D23C07">
        <w:rPr>
          <w:color w:val="auto"/>
        </w:rPr>
        <w:t>ere</w:t>
      </w:r>
      <w:r>
        <w:rPr>
          <w:color w:val="auto"/>
        </w:rPr>
        <w:t xml:space="preserve"> </w:t>
      </w:r>
      <w:r w:rsidR="00EF2438">
        <w:rPr>
          <w:color w:val="auto"/>
        </w:rPr>
        <w:t>flagged</w:t>
      </w:r>
      <w:r w:rsidR="007541C7" w:rsidRPr="007541C7">
        <w:rPr>
          <w:color w:val="auto"/>
        </w:rPr>
        <w:t xml:space="preserve"> as </w:t>
      </w:r>
      <w:r w:rsidR="00D23C07">
        <w:rPr>
          <w:color w:val="auto"/>
        </w:rPr>
        <w:t>some</w:t>
      </w:r>
      <w:r w:rsidR="007541C7" w:rsidRPr="007541C7">
        <w:rPr>
          <w:color w:val="auto"/>
        </w:rPr>
        <w:t xml:space="preserve"> of the sector’s</w:t>
      </w:r>
      <w:r w:rsidR="00935362" w:rsidRPr="007541C7">
        <w:rPr>
          <w:color w:val="auto"/>
        </w:rPr>
        <w:t xml:space="preserve"> mega t</w:t>
      </w:r>
      <w:r w:rsidR="0003672A" w:rsidRPr="007541C7">
        <w:rPr>
          <w:color w:val="auto"/>
        </w:rPr>
        <w:t>rends</w:t>
      </w:r>
      <w:r w:rsidR="002B5973" w:rsidRPr="007541C7">
        <w:rPr>
          <w:color w:val="auto"/>
        </w:rPr>
        <w:t xml:space="preserve"> by Lumina Intelligence’s </w:t>
      </w:r>
      <w:hyperlink r:id="rId7" w:history="1">
        <w:r w:rsidR="002B5973" w:rsidRPr="00B47A0A">
          <w:rPr>
            <w:rStyle w:val="Hyperlink"/>
          </w:rPr>
          <w:t xml:space="preserve">Menu &amp; Food Trends </w:t>
        </w:r>
        <w:r w:rsidR="008257A4">
          <w:rPr>
            <w:rStyle w:val="Hyperlink"/>
          </w:rPr>
          <w:t>R</w:t>
        </w:r>
        <w:r w:rsidR="00514984" w:rsidRPr="00B47A0A">
          <w:rPr>
            <w:rStyle w:val="Hyperlink"/>
          </w:rPr>
          <w:t>eport</w:t>
        </w:r>
      </w:hyperlink>
      <w:r w:rsidR="008257A4">
        <w:rPr>
          <w:rStyle w:val="Hyperlink"/>
        </w:rPr>
        <w:t xml:space="preserve"> 2022</w:t>
      </w:r>
      <w:r>
        <w:rPr>
          <w:color w:val="auto"/>
        </w:rPr>
        <w:t xml:space="preserve">. The trend </w:t>
      </w:r>
      <w:r w:rsidR="00A7696A">
        <w:rPr>
          <w:color w:val="auto"/>
        </w:rPr>
        <w:t xml:space="preserve">aligns with </w:t>
      </w:r>
      <w:r w:rsidR="00EF2438">
        <w:rPr>
          <w:color w:val="auto"/>
        </w:rPr>
        <w:t>much-needed</w:t>
      </w:r>
      <w:r w:rsidR="00A7696A">
        <w:rPr>
          <w:color w:val="auto"/>
        </w:rPr>
        <w:t xml:space="preserve"> cost management in </w:t>
      </w:r>
      <w:r w:rsidR="00D23C07">
        <w:rPr>
          <w:color w:val="auto"/>
        </w:rPr>
        <w:t>menus and</w:t>
      </w:r>
      <w:r>
        <w:rPr>
          <w:color w:val="auto"/>
        </w:rPr>
        <w:t xml:space="preserve"> f</w:t>
      </w:r>
      <w:r w:rsidR="00A7696A">
        <w:rPr>
          <w:color w:val="auto"/>
        </w:rPr>
        <w:t>ocusing</w:t>
      </w:r>
      <w:r w:rsidR="00935362" w:rsidRPr="007541C7">
        <w:rPr>
          <w:color w:val="auto"/>
        </w:rPr>
        <w:t xml:space="preserve"> on </w:t>
      </w:r>
      <w:r w:rsidR="0003672A" w:rsidRPr="007541C7">
        <w:rPr>
          <w:color w:val="auto"/>
        </w:rPr>
        <w:t>lighter and more meat-free dishes</w:t>
      </w:r>
      <w:r w:rsidR="007541C7" w:rsidRPr="007541C7">
        <w:rPr>
          <w:color w:val="auto"/>
        </w:rPr>
        <w:t xml:space="preserve"> </w:t>
      </w:r>
      <w:r w:rsidR="0003672A" w:rsidRPr="007541C7">
        <w:rPr>
          <w:color w:val="auto"/>
        </w:rPr>
        <w:t>is allowing</w:t>
      </w:r>
      <w:r w:rsidR="00935362" w:rsidRPr="007541C7">
        <w:rPr>
          <w:color w:val="auto"/>
        </w:rPr>
        <w:t xml:space="preserve"> operators to </w:t>
      </w:r>
      <w:r w:rsidR="00D23C07">
        <w:rPr>
          <w:color w:val="auto"/>
        </w:rPr>
        <w:t>handle</w:t>
      </w:r>
      <w:r w:rsidR="00A7696A">
        <w:rPr>
          <w:color w:val="auto"/>
        </w:rPr>
        <w:t xml:space="preserve"> annual </w:t>
      </w:r>
      <w:r w:rsidR="00861CEF">
        <w:rPr>
          <w:color w:val="auto"/>
        </w:rPr>
        <w:t>price increases</w:t>
      </w:r>
      <w:r w:rsidR="00935362" w:rsidRPr="007541C7">
        <w:rPr>
          <w:color w:val="auto"/>
        </w:rPr>
        <w:t xml:space="preserve"> more effectively, </w:t>
      </w:r>
      <w:r w:rsidR="00861CEF">
        <w:rPr>
          <w:color w:val="auto"/>
        </w:rPr>
        <w:t>as these measures facilitate</w:t>
      </w:r>
      <w:r w:rsidR="0003672A" w:rsidRPr="007541C7">
        <w:rPr>
          <w:color w:val="auto"/>
        </w:rPr>
        <w:t xml:space="preserve"> smaller portions and the utilisation of less expensive ingredients, </w:t>
      </w:r>
      <w:r w:rsidR="00935362" w:rsidRPr="007541C7">
        <w:rPr>
          <w:color w:val="auto"/>
        </w:rPr>
        <w:t xml:space="preserve">hence </w:t>
      </w:r>
      <w:r w:rsidR="0003672A" w:rsidRPr="007541C7">
        <w:rPr>
          <w:color w:val="auto"/>
        </w:rPr>
        <w:t xml:space="preserve">reducing food </w:t>
      </w:r>
      <w:r w:rsidR="00935362" w:rsidRPr="007541C7">
        <w:rPr>
          <w:color w:val="auto"/>
        </w:rPr>
        <w:t>waste,</w:t>
      </w:r>
      <w:r w:rsidR="0003672A" w:rsidRPr="007541C7">
        <w:rPr>
          <w:color w:val="auto"/>
        </w:rPr>
        <w:t xml:space="preserve"> and strengthening margins.</w:t>
      </w:r>
    </w:p>
    <w:p w14:paraId="5AE84D48" w14:textId="77777777" w:rsidR="00935362" w:rsidRPr="002B5973" w:rsidRDefault="00935362" w:rsidP="0003672A">
      <w:pPr>
        <w:pStyle w:val="Default"/>
        <w:rPr>
          <w:color w:val="auto"/>
        </w:rPr>
      </w:pPr>
    </w:p>
    <w:p w14:paraId="58C604C1" w14:textId="578F4847" w:rsidR="00861CEF" w:rsidRPr="00861CEF" w:rsidRDefault="008257A4" w:rsidP="00861CEF">
      <w:pPr>
        <w:pStyle w:val="Default"/>
        <w:rPr>
          <w:color w:val="auto"/>
        </w:rPr>
      </w:pPr>
      <w:r>
        <w:rPr>
          <w:color w:val="auto"/>
        </w:rPr>
        <w:t>The</w:t>
      </w:r>
      <w:r w:rsidR="00D23C07">
        <w:rPr>
          <w:color w:val="auto"/>
        </w:rPr>
        <w:t xml:space="preserve"> result,</w:t>
      </w:r>
      <w:r w:rsidR="00861CEF">
        <w:rPr>
          <w:color w:val="auto"/>
        </w:rPr>
        <w:t xml:space="preserve"> </w:t>
      </w:r>
      <w:r>
        <w:rPr>
          <w:color w:val="auto"/>
        </w:rPr>
        <w:t xml:space="preserve">as </w:t>
      </w:r>
      <w:r w:rsidR="00861CEF">
        <w:rPr>
          <w:color w:val="auto"/>
        </w:rPr>
        <w:t>Lumina Intelligence’s Menu Tracker indicate</w:t>
      </w:r>
      <w:r w:rsidR="00D23C07">
        <w:rPr>
          <w:color w:val="auto"/>
        </w:rPr>
        <w:t>s</w:t>
      </w:r>
      <w:r>
        <w:rPr>
          <w:color w:val="auto"/>
        </w:rPr>
        <w:t>,</w:t>
      </w:r>
      <w:r w:rsidR="00861CEF">
        <w:rPr>
          <w:color w:val="auto"/>
        </w:rPr>
        <w:t xml:space="preserve"> </w:t>
      </w:r>
      <w:r>
        <w:rPr>
          <w:color w:val="auto"/>
        </w:rPr>
        <w:t>is that</w:t>
      </w:r>
      <w:r w:rsidR="00861CEF">
        <w:rPr>
          <w:color w:val="auto"/>
        </w:rPr>
        <w:t xml:space="preserve"> t</w:t>
      </w:r>
      <w:r w:rsidR="0003672A" w:rsidRPr="002B5973">
        <w:rPr>
          <w:color w:val="auto"/>
        </w:rPr>
        <w:t xml:space="preserve">he total proportion of dishes containing meat has fallen by </w:t>
      </w:r>
      <w:r w:rsidR="0003672A" w:rsidRPr="00D23C07">
        <w:rPr>
          <w:b/>
          <w:bCs/>
          <w:color w:val="auto"/>
        </w:rPr>
        <w:t>-3ppts</w:t>
      </w:r>
      <w:r w:rsidR="0003672A" w:rsidRPr="002B5973">
        <w:rPr>
          <w:color w:val="auto"/>
        </w:rPr>
        <w:t xml:space="preserve"> from 2019 to 2022.</w:t>
      </w:r>
      <w:r w:rsidR="00861CEF">
        <w:rPr>
          <w:color w:val="auto"/>
        </w:rPr>
        <w:t xml:space="preserve"> </w:t>
      </w:r>
      <w:r w:rsidR="00861CEF" w:rsidRPr="002B5973">
        <w:rPr>
          <w:color w:val="auto"/>
        </w:rPr>
        <w:t xml:space="preserve">Vegan diets when eating out have increased </w:t>
      </w:r>
      <w:r w:rsidR="00861CEF" w:rsidRPr="00D23C07">
        <w:rPr>
          <w:b/>
          <w:bCs/>
          <w:color w:val="auto"/>
        </w:rPr>
        <w:t>+11%</w:t>
      </w:r>
      <w:r w:rsidR="00861CEF" w:rsidRPr="002B5973">
        <w:rPr>
          <w:color w:val="auto"/>
        </w:rPr>
        <w:t xml:space="preserve"> </w:t>
      </w:r>
      <w:proofErr w:type="spellStart"/>
      <w:r w:rsidR="00861CEF" w:rsidRPr="002B5973">
        <w:rPr>
          <w:color w:val="auto"/>
        </w:rPr>
        <w:t>QoQ</w:t>
      </w:r>
      <w:proofErr w:type="spellEnd"/>
      <w:r w:rsidR="00861CEF">
        <w:rPr>
          <w:color w:val="auto"/>
        </w:rPr>
        <w:t xml:space="preserve">, which </w:t>
      </w:r>
      <w:r w:rsidR="00D23C07">
        <w:rPr>
          <w:color w:val="auto"/>
        </w:rPr>
        <w:t>perhaps shouldn’</w:t>
      </w:r>
      <w:r w:rsidR="00861CEF">
        <w:rPr>
          <w:color w:val="auto"/>
        </w:rPr>
        <w:t xml:space="preserve">t come so much as a surprise if we consider </w:t>
      </w:r>
      <w:r w:rsidR="00861CEF" w:rsidRPr="00D23C07">
        <w:rPr>
          <w:b/>
          <w:bCs/>
          <w:color w:val="auto"/>
        </w:rPr>
        <w:t>66%</w:t>
      </w:r>
      <w:r w:rsidR="00861CEF" w:rsidRPr="002B5973">
        <w:rPr>
          <w:color w:val="auto"/>
        </w:rPr>
        <w:t xml:space="preserve"> of consumers </w:t>
      </w:r>
      <w:r w:rsidR="00861CEF">
        <w:rPr>
          <w:color w:val="auto"/>
        </w:rPr>
        <w:t>state they are</w:t>
      </w:r>
      <w:r w:rsidR="00861CEF" w:rsidRPr="002B5973">
        <w:rPr>
          <w:color w:val="auto"/>
        </w:rPr>
        <w:t xml:space="preserve"> </w:t>
      </w:r>
      <w:r w:rsidR="00861CEF" w:rsidRPr="00D23C07">
        <w:rPr>
          <w:b/>
          <w:bCs/>
          <w:color w:val="auto"/>
        </w:rPr>
        <w:t>very sustainably conscious</w:t>
      </w:r>
      <w:r w:rsidR="00861CEF">
        <w:rPr>
          <w:color w:val="auto"/>
        </w:rPr>
        <w:t>.</w:t>
      </w:r>
    </w:p>
    <w:p w14:paraId="1B6C8F0D" w14:textId="3FB14BA3" w:rsidR="00861CEF" w:rsidRDefault="00861CEF" w:rsidP="00D45FB9">
      <w:pPr>
        <w:pStyle w:val="Default"/>
        <w:rPr>
          <w:color w:val="auto"/>
        </w:rPr>
      </w:pPr>
    </w:p>
    <w:p w14:paraId="5908E81E" w14:textId="65405E5A" w:rsidR="00861CEF" w:rsidRDefault="00D23C07" w:rsidP="00D45FB9">
      <w:pPr>
        <w:pStyle w:val="Default"/>
        <w:rPr>
          <w:color w:val="auto"/>
        </w:rPr>
      </w:pPr>
      <w:r>
        <w:rPr>
          <w:color w:val="auto"/>
        </w:rPr>
        <w:t>And w</w:t>
      </w:r>
      <w:r w:rsidR="00861CEF">
        <w:rPr>
          <w:color w:val="auto"/>
        </w:rPr>
        <w:t xml:space="preserve">hile vegan diets don’t necessary imply calory scrutiny, </w:t>
      </w:r>
      <w:r w:rsidR="00861CEF" w:rsidRPr="00D23C07">
        <w:rPr>
          <w:b/>
          <w:bCs/>
          <w:color w:val="auto"/>
        </w:rPr>
        <w:t>healthier eating</w:t>
      </w:r>
      <w:r w:rsidR="00861CEF">
        <w:rPr>
          <w:color w:val="auto"/>
        </w:rPr>
        <w:t xml:space="preserve"> is also trending, </w:t>
      </w:r>
      <w:r w:rsidR="001C1D17">
        <w:rPr>
          <w:color w:val="auto"/>
        </w:rPr>
        <w:t>and t</w:t>
      </w:r>
      <w:r w:rsidR="0003672A" w:rsidRPr="002B5973">
        <w:rPr>
          <w:color w:val="auto"/>
        </w:rPr>
        <w:t>he average calorie count of a dish has</w:t>
      </w:r>
      <w:r w:rsidR="00D45FB9" w:rsidRPr="002B5973">
        <w:rPr>
          <w:color w:val="auto"/>
        </w:rPr>
        <w:t xml:space="preserve"> </w:t>
      </w:r>
      <w:r w:rsidR="0003672A" w:rsidRPr="002B5973">
        <w:rPr>
          <w:color w:val="auto"/>
        </w:rPr>
        <w:t xml:space="preserve">fallen by </w:t>
      </w:r>
      <w:r w:rsidR="0003672A" w:rsidRPr="00D23C07">
        <w:rPr>
          <w:b/>
          <w:bCs/>
          <w:color w:val="auto"/>
        </w:rPr>
        <w:t>-2.4%</w:t>
      </w:r>
      <w:r w:rsidR="0003672A" w:rsidRPr="002B5973">
        <w:rPr>
          <w:color w:val="auto"/>
        </w:rPr>
        <w:t xml:space="preserve"> from May to October 2022</w:t>
      </w:r>
      <w:r w:rsidR="001C1D17">
        <w:rPr>
          <w:color w:val="auto"/>
        </w:rPr>
        <w:t xml:space="preserve">, which is also contributing to managing the impact of compulsory calorie labelling on consumers and encouraging eating out missions. </w:t>
      </w:r>
    </w:p>
    <w:p w14:paraId="2EFC1A65" w14:textId="4E7E547F" w:rsidR="0003672A" w:rsidRPr="002B5973" w:rsidRDefault="0003672A" w:rsidP="0003672A">
      <w:pPr>
        <w:pStyle w:val="Default"/>
        <w:rPr>
          <w:color w:val="auto"/>
        </w:rPr>
      </w:pPr>
    </w:p>
    <w:p w14:paraId="56A41080" w14:textId="314494C6" w:rsidR="0003672A" w:rsidRPr="002B5973" w:rsidRDefault="00343E35" w:rsidP="0003672A">
      <w:pPr>
        <w:pStyle w:val="Default"/>
        <w:rPr>
          <w:color w:val="auto"/>
        </w:rPr>
      </w:pPr>
      <w:r w:rsidRPr="001C1D17">
        <w:rPr>
          <w:color w:val="auto"/>
        </w:rPr>
        <w:t>Customisation</w:t>
      </w:r>
      <w:r w:rsidR="0003715F">
        <w:rPr>
          <w:color w:val="auto"/>
        </w:rPr>
        <w:t>**</w:t>
      </w:r>
      <w:r w:rsidRPr="001C1D17">
        <w:rPr>
          <w:color w:val="auto"/>
        </w:rPr>
        <w:t xml:space="preserve"> is another </w:t>
      </w:r>
      <w:r w:rsidR="008257A4">
        <w:rPr>
          <w:color w:val="auto"/>
        </w:rPr>
        <w:t xml:space="preserve">popular </w:t>
      </w:r>
      <w:r w:rsidRPr="001C1D17">
        <w:rPr>
          <w:color w:val="auto"/>
        </w:rPr>
        <w:t>tool for both operators and consumers</w:t>
      </w:r>
      <w:r w:rsidR="00D37A69" w:rsidRPr="001C1D17">
        <w:rPr>
          <w:color w:val="auto"/>
        </w:rPr>
        <w:t xml:space="preserve"> within this space</w:t>
      </w:r>
      <w:r w:rsidRPr="001C1D17">
        <w:rPr>
          <w:color w:val="auto"/>
        </w:rPr>
        <w:t xml:space="preserve">, as it facilitates catering for dietary preferences. </w:t>
      </w:r>
      <w:r w:rsidRPr="001C1D17">
        <w:rPr>
          <w:b/>
          <w:bCs/>
          <w:color w:val="auto"/>
        </w:rPr>
        <w:t>There has been a +20ppt increase in the share of dishes that are customisable from 2019 to 2022,</w:t>
      </w:r>
      <w:r w:rsidRPr="001C1D17">
        <w:rPr>
          <w:color w:val="auto"/>
        </w:rPr>
        <w:t xml:space="preserve"> and while</w:t>
      </w:r>
      <w:r w:rsidRPr="001C1D17">
        <w:rPr>
          <w:b/>
          <w:bCs/>
          <w:color w:val="auto"/>
        </w:rPr>
        <w:t xml:space="preserve"> </w:t>
      </w:r>
      <w:r w:rsidRPr="001C1D17">
        <w:rPr>
          <w:color w:val="auto"/>
        </w:rPr>
        <w:t>variations of dishes do present operational challenges for operators, these challenges are being reflected in the price point</w:t>
      </w:r>
      <w:r w:rsidR="008257A4">
        <w:rPr>
          <w:color w:val="auto"/>
        </w:rPr>
        <w:t>:</w:t>
      </w:r>
      <w:r w:rsidRPr="001C1D17">
        <w:rPr>
          <w:color w:val="auto"/>
        </w:rPr>
        <w:t xml:space="preserve"> </w:t>
      </w:r>
      <w:r w:rsidR="008257A4">
        <w:rPr>
          <w:color w:val="auto"/>
        </w:rPr>
        <w:t>p</w:t>
      </w:r>
      <w:r w:rsidRPr="001C1D17">
        <w:rPr>
          <w:color w:val="auto"/>
        </w:rPr>
        <w:t xml:space="preserve">ub and bar customisable dishes are </w:t>
      </w:r>
      <w:r w:rsidRPr="008257A4">
        <w:rPr>
          <w:b/>
          <w:bCs/>
          <w:color w:val="auto"/>
        </w:rPr>
        <w:t>+28%</w:t>
      </w:r>
      <w:r w:rsidRPr="001C1D17">
        <w:rPr>
          <w:color w:val="auto"/>
        </w:rPr>
        <w:t xml:space="preserve"> more expensive than the average dish, and they continue to allow premiumisation.</w:t>
      </w:r>
      <w:r w:rsidRPr="002B5973">
        <w:rPr>
          <w:color w:val="auto"/>
        </w:rPr>
        <w:t xml:space="preserve"> </w:t>
      </w:r>
    </w:p>
    <w:p w14:paraId="6130B3EB" w14:textId="77777777" w:rsidR="00343E35" w:rsidRPr="002B5973" w:rsidRDefault="00343E35" w:rsidP="0003672A">
      <w:pPr>
        <w:pStyle w:val="Default"/>
        <w:rPr>
          <w:color w:val="auto"/>
        </w:rPr>
      </w:pPr>
    </w:p>
    <w:p w14:paraId="284B4EDC" w14:textId="49E43ADF" w:rsidR="0003672A" w:rsidRPr="002B5973" w:rsidRDefault="00877F71" w:rsidP="00343E35">
      <w:pPr>
        <w:pStyle w:val="Default"/>
        <w:rPr>
          <w:color w:val="auto"/>
        </w:rPr>
      </w:pPr>
      <w:r w:rsidRPr="00877F71">
        <w:rPr>
          <w:b/>
          <w:bCs/>
          <w:color w:val="auto"/>
        </w:rPr>
        <w:t>Menu management</w:t>
      </w:r>
      <w:r>
        <w:rPr>
          <w:color w:val="auto"/>
        </w:rPr>
        <w:t xml:space="preserve">, </w:t>
      </w:r>
      <w:r>
        <w:rPr>
          <w:b/>
          <w:bCs/>
          <w:color w:val="auto"/>
        </w:rPr>
        <w:t>s</w:t>
      </w:r>
      <w:r w:rsidR="00D45FB9" w:rsidRPr="00B47A0A">
        <w:rPr>
          <w:b/>
          <w:bCs/>
          <w:color w:val="auto"/>
        </w:rPr>
        <w:t>ustainability</w:t>
      </w:r>
      <w:r>
        <w:rPr>
          <w:b/>
          <w:bCs/>
          <w:color w:val="auto"/>
        </w:rPr>
        <w:t xml:space="preserve"> practices</w:t>
      </w:r>
      <w:r w:rsidR="00D45FB9" w:rsidRPr="002B5973">
        <w:rPr>
          <w:color w:val="auto"/>
        </w:rPr>
        <w:t xml:space="preserve"> and </w:t>
      </w:r>
      <w:r w:rsidR="00D45FB9" w:rsidRPr="00B47A0A">
        <w:rPr>
          <w:b/>
          <w:bCs/>
          <w:color w:val="auto"/>
        </w:rPr>
        <w:t>digitalisation</w:t>
      </w:r>
      <w:r w:rsidR="00D45FB9" w:rsidRPr="002B5973">
        <w:rPr>
          <w:color w:val="auto"/>
        </w:rPr>
        <w:t xml:space="preserve"> will </w:t>
      </w:r>
      <w:r w:rsidR="008257A4">
        <w:rPr>
          <w:color w:val="auto"/>
        </w:rPr>
        <w:t>be key</w:t>
      </w:r>
      <w:r w:rsidR="00D45FB9" w:rsidRPr="002B5973">
        <w:rPr>
          <w:color w:val="auto"/>
        </w:rPr>
        <w:t xml:space="preserve"> </w:t>
      </w:r>
      <w:r>
        <w:rPr>
          <w:color w:val="auto"/>
        </w:rPr>
        <w:t xml:space="preserve">to </w:t>
      </w:r>
      <w:r w:rsidR="008257A4">
        <w:rPr>
          <w:color w:val="auto"/>
        </w:rPr>
        <w:t xml:space="preserve">the </w:t>
      </w:r>
      <w:r w:rsidR="008257A4" w:rsidRPr="002B5973">
        <w:rPr>
          <w:color w:val="auto"/>
        </w:rPr>
        <w:t>recovery</w:t>
      </w:r>
      <w:r>
        <w:rPr>
          <w:color w:val="auto"/>
        </w:rPr>
        <w:t xml:space="preserve"> of the</w:t>
      </w:r>
      <w:r w:rsidRPr="002B5973">
        <w:rPr>
          <w:color w:val="auto"/>
        </w:rPr>
        <w:t xml:space="preserve"> total eating out market</w:t>
      </w:r>
      <w:r>
        <w:rPr>
          <w:color w:val="auto"/>
        </w:rPr>
        <w:t>,</w:t>
      </w:r>
      <w:r w:rsidRPr="002B5973">
        <w:rPr>
          <w:color w:val="auto"/>
        </w:rPr>
        <w:t xml:space="preserve"> </w:t>
      </w:r>
      <w:r>
        <w:rPr>
          <w:color w:val="auto"/>
        </w:rPr>
        <w:t xml:space="preserve">which </w:t>
      </w:r>
      <w:r w:rsidRPr="002B5973">
        <w:rPr>
          <w:color w:val="auto"/>
        </w:rPr>
        <w:t xml:space="preserve">is expected to </w:t>
      </w:r>
      <w:r>
        <w:rPr>
          <w:color w:val="auto"/>
        </w:rPr>
        <w:t>add up to</w:t>
      </w:r>
      <w:r w:rsidRPr="002B5973">
        <w:rPr>
          <w:color w:val="auto"/>
        </w:rPr>
        <w:t xml:space="preserve"> </w:t>
      </w:r>
      <w:r w:rsidRPr="00B47A0A">
        <w:rPr>
          <w:b/>
          <w:bCs/>
          <w:color w:val="auto"/>
        </w:rPr>
        <w:t>£101bn</w:t>
      </w:r>
      <w:r w:rsidRPr="002B5973">
        <w:rPr>
          <w:color w:val="auto"/>
        </w:rPr>
        <w:t xml:space="preserve"> in 2025</w:t>
      </w:r>
      <w:r>
        <w:rPr>
          <w:color w:val="auto"/>
        </w:rPr>
        <w:t>,</w:t>
      </w:r>
      <w:r w:rsidRPr="002B5973">
        <w:rPr>
          <w:color w:val="auto"/>
        </w:rPr>
        <w:t xml:space="preserve"> following stability in inflation and recovery in consumer spending power.</w:t>
      </w:r>
      <w:r w:rsidR="00D45FB9" w:rsidRPr="002B5973">
        <w:rPr>
          <w:b/>
          <w:bCs/>
          <w:color w:val="auto"/>
        </w:rPr>
        <w:t xml:space="preserve"> </w:t>
      </w:r>
      <w:r w:rsidRPr="00877F71">
        <w:rPr>
          <w:color w:val="auto"/>
        </w:rPr>
        <w:t>As of now</w:t>
      </w:r>
      <w:r>
        <w:rPr>
          <w:b/>
          <w:bCs/>
          <w:color w:val="auto"/>
        </w:rPr>
        <w:t xml:space="preserve">, </w:t>
      </w:r>
      <w:r>
        <w:rPr>
          <w:color w:val="auto"/>
        </w:rPr>
        <w:t>i</w:t>
      </w:r>
      <w:r w:rsidR="0003672A" w:rsidRPr="002B5973">
        <w:rPr>
          <w:color w:val="auto"/>
        </w:rPr>
        <w:t xml:space="preserve">nvestment in sustainability is being prioritised by 80% of eating out </w:t>
      </w:r>
      <w:r w:rsidR="00343E35" w:rsidRPr="002B5973">
        <w:rPr>
          <w:color w:val="auto"/>
        </w:rPr>
        <w:t xml:space="preserve">businesses </w:t>
      </w:r>
      <w:r w:rsidR="00343E35" w:rsidRPr="002B5973">
        <w:rPr>
          <w:color w:val="auto"/>
        </w:rPr>
        <w:lastRenderedPageBreak/>
        <w:t>and</w:t>
      </w:r>
      <w:r w:rsidR="0003672A" w:rsidRPr="002B5973">
        <w:rPr>
          <w:color w:val="auto"/>
        </w:rPr>
        <w:t xml:space="preserve"> will</w:t>
      </w:r>
      <w:r w:rsidR="00343E35" w:rsidRPr="002B5973">
        <w:rPr>
          <w:color w:val="auto"/>
        </w:rPr>
        <w:t xml:space="preserve"> be</w:t>
      </w:r>
      <w:r w:rsidR="0003672A" w:rsidRPr="002B5973">
        <w:rPr>
          <w:color w:val="auto"/>
        </w:rPr>
        <w:t xml:space="preserve"> </w:t>
      </w:r>
      <w:r w:rsidR="00D37A69" w:rsidRPr="002B5973">
        <w:rPr>
          <w:color w:val="auto"/>
        </w:rPr>
        <w:t>centr</w:t>
      </w:r>
      <w:r>
        <w:rPr>
          <w:color w:val="auto"/>
        </w:rPr>
        <w:t>e</w:t>
      </w:r>
      <w:r w:rsidR="00D37A69" w:rsidRPr="002B5973">
        <w:rPr>
          <w:color w:val="auto"/>
        </w:rPr>
        <w:t>d</w:t>
      </w:r>
      <w:r w:rsidR="0003672A" w:rsidRPr="002B5973">
        <w:rPr>
          <w:color w:val="auto"/>
        </w:rPr>
        <w:t xml:space="preserve"> around </w:t>
      </w:r>
      <w:r w:rsidR="009F3EA3">
        <w:rPr>
          <w:color w:val="auto"/>
        </w:rPr>
        <w:t>more efficient practises and</w:t>
      </w:r>
      <w:r w:rsidR="0003672A" w:rsidRPr="002B5973">
        <w:rPr>
          <w:color w:val="auto"/>
        </w:rPr>
        <w:t xml:space="preserve"> waste</w:t>
      </w:r>
      <w:r>
        <w:rPr>
          <w:color w:val="auto"/>
        </w:rPr>
        <w:t xml:space="preserve"> management, while i</w:t>
      </w:r>
      <w:r w:rsidR="0003672A" w:rsidRPr="002B5973">
        <w:rPr>
          <w:color w:val="auto"/>
        </w:rPr>
        <w:t>nnovations in creating sustainable alternatives to staple ingredients will continue in 2023, shielding operators from cost fluctuations and capitalising on</w:t>
      </w:r>
      <w:r w:rsidR="008257A4">
        <w:rPr>
          <w:color w:val="auto"/>
        </w:rPr>
        <w:t xml:space="preserve"> the </w:t>
      </w:r>
      <w:proofErr w:type="gramStart"/>
      <w:r w:rsidR="008257A4">
        <w:rPr>
          <w:color w:val="auto"/>
        </w:rPr>
        <w:t>aforementioned</w:t>
      </w:r>
      <w:r w:rsidR="0003672A" w:rsidRPr="002B5973">
        <w:rPr>
          <w:color w:val="auto"/>
        </w:rPr>
        <w:t xml:space="preserve"> </w:t>
      </w:r>
      <w:r w:rsidR="008257A4">
        <w:rPr>
          <w:color w:val="auto"/>
        </w:rPr>
        <w:t>flexitarian</w:t>
      </w:r>
      <w:proofErr w:type="gramEnd"/>
      <w:r w:rsidR="0003672A" w:rsidRPr="002B5973">
        <w:rPr>
          <w:color w:val="auto"/>
        </w:rPr>
        <w:t xml:space="preserve"> trends</w:t>
      </w:r>
      <w:r w:rsidR="00343E35" w:rsidRPr="002B5973">
        <w:rPr>
          <w:b/>
          <w:bCs/>
          <w:color w:val="auto"/>
        </w:rPr>
        <w:t>.</w:t>
      </w:r>
    </w:p>
    <w:p w14:paraId="525A9128" w14:textId="2F0C2EA5" w:rsidR="0003672A" w:rsidRDefault="0003672A" w:rsidP="0003672A">
      <w:pPr>
        <w:pStyle w:val="Default"/>
        <w:rPr>
          <w:color w:val="auto"/>
        </w:rPr>
      </w:pPr>
    </w:p>
    <w:p w14:paraId="44A76E6D" w14:textId="54DCFA19" w:rsidR="0003715F" w:rsidRDefault="0003715F" w:rsidP="0003672A">
      <w:pPr>
        <w:pStyle w:val="Default"/>
        <w:rPr>
          <w:color w:val="auto"/>
        </w:rPr>
      </w:pPr>
      <w:r>
        <w:rPr>
          <w:color w:val="auto"/>
        </w:rPr>
        <w:t>___</w:t>
      </w:r>
    </w:p>
    <w:p w14:paraId="3C73867F" w14:textId="1E2DFCD4" w:rsidR="0003715F" w:rsidRDefault="0003715F" w:rsidP="0003672A">
      <w:pPr>
        <w:pStyle w:val="Default"/>
        <w:rPr>
          <w:color w:val="auto"/>
        </w:rPr>
      </w:pPr>
    </w:p>
    <w:p w14:paraId="65492528" w14:textId="135829A3" w:rsidR="0003715F" w:rsidRPr="00BB761B" w:rsidRDefault="0003715F" w:rsidP="0003672A">
      <w:pPr>
        <w:pStyle w:val="Default"/>
        <w:rPr>
          <w:color w:val="auto"/>
          <w:sz w:val="20"/>
          <w:szCs w:val="20"/>
        </w:rPr>
      </w:pPr>
      <w:r w:rsidRPr="00BB761B">
        <w:rPr>
          <w:color w:val="auto"/>
          <w:sz w:val="20"/>
          <w:szCs w:val="20"/>
        </w:rPr>
        <w:t>*</w:t>
      </w:r>
      <w:proofErr w:type="gramStart"/>
      <w:r w:rsidRPr="00BB761B">
        <w:rPr>
          <w:i/>
          <w:iCs/>
          <w:color w:val="auto"/>
          <w:sz w:val="20"/>
          <w:szCs w:val="20"/>
        </w:rPr>
        <w:t>same</w:t>
      </w:r>
      <w:proofErr w:type="gramEnd"/>
      <w:r w:rsidRPr="00BB761B">
        <w:rPr>
          <w:i/>
          <w:iCs/>
          <w:color w:val="auto"/>
          <w:sz w:val="20"/>
          <w:szCs w:val="20"/>
        </w:rPr>
        <w:t>-line dishes</w:t>
      </w:r>
      <w:r w:rsidRPr="00BB761B">
        <w:rPr>
          <w:color w:val="auto"/>
          <w:sz w:val="20"/>
          <w:szCs w:val="20"/>
        </w:rPr>
        <w:t>:</w:t>
      </w:r>
      <w:r w:rsidRPr="00BB761B">
        <w:rPr>
          <w:color w:val="auto"/>
          <w:sz w:val="20"/>
          <w:szCs w:val="20"/>
        </w:rPr>
        <w:t xml:space="preserve"> dishes retained on menus from previous same season with the same name and dish </w:t>
      </w:r>
      <w:proofErr w:type="spellStart"/>
      <w:r w:rsidRPr="00BB761B">
        <w:rPr>
          <w:color w:val="auto"/>
          <w:sz w:val="20"/>
          <w:szCs w:val="20"/>
        </w:rPr>
        <w:t>decription</w:t>
      </w:r>
      <w:proofErr w:type="spellEnd"/>
    </w:p>
    <w:p w14:paraId="15EF5A78" w14:textId="309012F8" w:rsidR="0003715F" w:rsidRPr="00BB761B" w:rsidRDefault="0003715F" w:rsidP="0003672A">
      <w:pPr>
        <w:pStyle w:val="Default"/>
        <w:rPr>
          <w:color w:val="auto"/>
          <w:sz w:val="20"/>
          <w:szCs w:val="20"/>
        </w:rPr>
      </w:pPr>
      <w:r w:rsidRPr="00BB761B">
        <w:rPr>
          <w:color w:val="auto"/>
          <w:sz w:val="20"/>
          <w:szCs w:val="20"/>
        </w:rPr>
        <w:t>**</w:t>
      </w:r>
      <w:r w:rsidRPr="00BB761B">
        <w:rPr>
          <w:i/>
          <w:iCs/>
          <w:color w:val="auto"/>
          <w:sz w:val="20"/>
          <w:szCs w:val="20"/>
        </w:rPr>
        <w:t>customis</w:t>
      </w:r>
      <w:r w:rsidRPr="00BB761B">
        <w:rPr>
          <w:i/>
          <w:iCs/>
          <w:color w:val="auto"/>
          <w:sz w:val="20"/>
          <w:szCs w:val="20"/>
        </w:rPr>
        <w:t>a</w:t>
      </w:r>
      <w:r w:rsidRPr="00BB761B">
        <w:rPr>
          <w:i/>
          <w:iCs/>
          <w:color w:val="auto"/>
          <w:sz w:val="20"/>
          <w:szCs w:val="20"/>
        </w:rPr>
        <w:t>tion</w:t>
      </w:r>
      <w:r w:rsidRPr="00BB761B">
        <w:rPr>
          <w:color w:val="auto"/>
          <w:sz w:val="20"/>
          <w:szCs w:val="20"/>
        </w:rPr>
        <w:t xml:space="preserve">: </w:t>
      </w:r>
      <w:r w:rsidRPr="00BB761B">
        <w:rPr>
          <w:color w:val="auto"/>
          <w:sz w:val="20"/>
          <w:szCs w:val="20"/>
        </w:rPr>
        <w:t xml:space="preserve">dishes that can be amended </w:t>
      </w:r>
      <w:proofErr w:type="gramStart"/>
      <w:r w:rsidRPr="00BB761B">
        <w:rPr>
          <w:color w:val="auto"/>
          <w:sz w:val="20"/>
          <w:szCs w:val="20"/>
        </w:rPr>
        <w:t>e.g.</w:t>
      </w:r>
      <w:proofErr w:type="gramEnd"/>
      <w:r w:rsidRPr="00BB761B">
        <w:rPr>
          <w:color w:val="auto"/>
          <w:sz w:val="20"/>
          <w:szCs w:val="20"/>
        </w:rPr>
        <w:t xml:space="preserve"> change protein, dish change is flagged on menu</w:t>
      </w:r>
    </w:p>
    <w:p w14:paraId="4BECC832" w14:textId="77777777" w:rsidR="0003672A" w:rsidRPr="002B5973" w:rsidRDefault="0003672A" w:rsidP="0003672A">
      <w:pPr>
        <w:pStyle w:val="Default"/>
        <w:rPr>
          <w:color w:val="auto"/>
        </w:rPr>
      </w:pPr>
    </w:p>
    <w:p w14:paraId="3AAEEFB9" w14:textId="77777777" w:rsidR="00BB761B" w:rsidRDefault="00BB761B" w:rsidP="00716B90">
      <w:pPr>
        <w:rPr>
          <w:sz w:val="24"/>
          <w:szCs w:val="24"/>
        </w:rPr>
      </w:pPr>
    </w:p>
    <w:p w14:paraId="751A6C84" w14:textId="34A50B4A" w:rsidR="00E465FF" w:rsidRDefault="00343E35" w:rsidP="00716B90">
      <w:pPr>
        <w:rPr>
          <w:sz w:val="24"/>
          <w:szCs w:val="24"/>
        </w:rPr>
      </w:pPr>
      <w:r w:rsidRPr="002B5973">
        <w:rPr>
          <w:sz w:val="24"/>
          <w:szCs w:val="24"/>
        </w:rPr>
        <w:t>ENDS</w:t>
      </w:r>
    </w:p>
    <w:p w14:paraId="75418735" w14:textId="6DECE1A1" w:rsidR="00514984" w:rsidRDefault="00514984" w:rsidP="00716B90">
      <w:pPr>
        <w:rPr>
          <w:sz w:val="24"/>
          <w:szCs w:val="24"/>
        </w:rPr>
      </w:pPr>
    </w:p>
    <w:p w14:paraId="552DA08B" w14:textId="77777777" w:rsidR="00514984" w:rsidRPr="00514984" w:rsidRDefault="00514984" w:rsidP="00514984">
      <w:pPr>
        <w:rPr>
          <w:b/>
          <w:bCs/>
          <w:sz w:val="24"/>
          <w:szCs w:val="24"/>
        </w:rPr>
      </w:pPr>
      <w:r w:rsidRPr="00514984">
        <w:rPr>
          <w:b/>
          <w:bCs/>
          <w:sz w:val="24"/>
          <w:szCs w:val="24"/>
        </w:rPr>
        <w:t>Menu &amp; Food Trends Report 2022</w:t>
      </w:r>
    </w:p>
    <w:p w14:paraId="5274E03E" w14:textId="77777777" w:rsidR="00514984" w:rsidRPr="00514984" w:rsidRDefault="00514984" w:rsidP="00514984">
      <w:pPr>
        <w:rPr>
          <w:sz w:val="24"/>
          <w:szCs w:val="24"/>
        </w:rPr>
      </w:pPr>
      <w:r w:rsidRPr="00514984">
        <w:rPr>
          <w:sz w:val="24"/>
          <w:szCs w:val="24"/>
        </w:rPr>
        <w:t>The Lumina Intelligence Menu &amp; Food Trends Report 2022 provides a comprehensive overview of menu engineering and pricing trends from across the UK hospitality sector. Understand how operators are adapting their menus in the face of significant headwinds, including price inflation, dish count and product labelling. Identify the mega trends impacting the UK hospitality sector and the opportunities and challenges that these present, including the attitudes and expectations of consumers.</w:t>
      </w:r>
    </w:p>
    <w:p w14:paraId="68CB8C01" w14:textId="77777777" w:rsidR="00514984" w:rsidRPr="00514984" w:rsidRDefault="00514984" w:rsidP="00514984">
      <w:pPr>
        <w:rPr>
          <w:sz w:val="24"/>
          <w:szCs w:val="24"/>
        </w:rPr>
      </w:pPr>
    </w:p>
    <w:p w14:paraId="0AFD8168" w14:textId="2C925D26" w:rsidR="00514984" w:rsidRDefault="00514984" w:rsidP="00514984">
      <w:pPr>
        <w:rPr>
          <w:b/>
          <w:bCs/>
          <w:sz w:val="24"/>
          <w:szCs w:val="24"/>
        </w:rPr>
      </w:pPr>
      <w:r>
        <w:rPr>
          <w:b/>
          <w:bCs/>
          <w:sz w:val="24"/>
          <w:szCs w:val="24"/>
        </w:rPr>
        <w:t>Methodology:</w:t>
      </w:r>
    </w:p>
    <w:p w14:paraId="060C42AA" w14:textId="0FF4112D" w:rsidR="00F66B0F" w:rsidRPr="00F66B0F" w:rsidRDefault="00F66B0F" w:rsidP="00514984">
      <w:pPr>
        <w:rPr>
          <w:sz w:val="24"/>
          <w:szCs w:val="24"/>
        </w:rPr>
      </w:pPr>
      <w:r w:rsidRPr="00F66B0F">
        <w:rPr>
          <w:sz w:val="24"/>
          <w:szCs w:val="24"/>
        </w:rPr>
        <w:t>The report has been produced using the following tools and actions:</w:t>
      </w:r>
    </w:p>
    <w:p w14:paraId="4F0441B5" w14:textId="5B2F103B" w:rsidR="00F66B0F" w:rsidRDefault="00F66B0F" w:rsidP="00F66B0F">
      <w:pPr>
        <w:pStyle w:val="Default"/>
        <w:numPr>
          <w:ilvl w:val="0"/>
          <w:numId w:val="2"/>
        </w:numPr>
        <w:rPr>
          <w:color w:val="3D343D"/>
          <w:sz w:val="23"/>
          <w:szCs w:val="23"/>
        </w:rPr>
      </w:pPr>
      <w:r w:rsidRPr="00F66B0F">
        <w:rPr>
          <w:b/>
          <w:bCs/>
        </w:rPr>
        <w:t>Eating &amp; Drinking Out Panel</w:t>
      </w:r>
      <w:r>
        <w:rPr>
          <w:b/>
          <w:bCs/>
        </w:rPr>
        <w:t xml:space="preserve">: </w:t>
      </w:r>
      <w:r>
        <w:rPr>
          <w:color w:val="3D343D"/>
          <w:sz w:val="23"/>
          <w:szCs w:val="23"/>
        </w:rPr>
        <w:t xml:space="preserve">Lumina Intelligence’s UK Eating &amp; Drinking Out Panel tracks the behaviour of 1,500 </w:t>
      </w:r>
      <w:proofErr w:type="gramStart"/>
      <w:r>
        <w:rPr>
          <w:color w:val="3D343D"/>
          <w:sz w:val="23"/>
          <w:szCs w:val="23"/>
        </w:rPr>
        <w:t>nationally-representative</w:t>
      </w:r>
      <w:proofErr w:type="gramEnd"/>
      <w:r>
        <w:rPr>
          <w:color w:val="3D343D"/>
          <w:sz w:val="23"/>
          <w:szCs w:val="23"/>
        </w:rPr>
        <w:t xml:space="preserve"> consumers each week, building up to a sample of 78,000 every year, across all eating out channels and day-parts (including snacking).</w:t>
      </w:r>
    </w:p>
    <w:p w14:paraId="26766FA0" w14:textId="77777777" w:rsidR="00F66B0F" w:rsidRDefault="00F66B0F" w:rsidP="00F66B0F">
      <w:pPr>
        <w:pStyle w:val="Default"/>
        <w:rPr>
          <w:color w:val="3D343D"/>
          <w:sz w:val="23"/>
          <w:szCs w:val="23"/>
        </w:rPr>
      </w:pPr>
    </w:p>
    <w:p w14:paraId="169FEB01" w14:textId="77777777" w:rsidR="00F66B0F" w:rsidRDefault="00F66B0F" w:rsidP="00F66B0F">
      <w:pPr>
        <w:pStyle w:val="Default"/>
        <w:numPr>
          <w:ilvl w:val="0"/>
          <w:numId w:val="2"/>
        </w:numPr>
        <w:rPr>
          <w:color w:val="3D343D"/>
          <w:sz w:val="23"/>
          <w:szCs w:val="23"/>
        </w:rPr>
      </w:pPr>
      <w:r w:rsidRPr="00F66B0F">
        <w:rPr>
          <w:b/>
          <w:bCs/>
        </w:rPr>
        <w:t>Market Sizing &amp; Operator Data Index</w:t>
      </w:r>
      <w:r>
        <w:rPr>
          <w:b/>
          <w:bCs/>
        </w:rPr>
        <w:t xml:space="preserve">: </w:t>
      </w:r>
      <w:r>
        <w:rPr>
          <w:color w:val="3D343D"/>
          <w:sz w:val="23"/>
          <w:szCs w:val="23"/>
        </w:rPr>
        <w:t>Market sizing data tracking the performance of hospitality and grocery operators, based on turnover and outlet numbers</w:t>
      </w:r>
    </w:p>
    <w:p w14:paraId="100749C7" w14:textId="706CB2D3" w:rsidR="00F66B0F" w:rsidRDefault="00F66B0F" w:rsidP="00F66B0F">
      <w:pPr>
        <w:pStyle w:val="Default"/>
        <w:numPr>
          <w:ilvl w:val="0"/>
          <w:numId w:val="2"/>
        </w:numPr>
        <w:rPr>
          <w:color w:val="3D343D"/>
          <w:sz w:val="23"/>
          <w:szCs w:val="23"/>
        </w:rPr>
      </w:pPr>
      <w:r>
        <w:rPr>
          <w:color w:val="3D343D"/>
          <w:sz w:val="23"/>
          <w:szCs w:val="23"/>
        </w:rPr>
        <w:t>Extracts from Operator Data Index and wider synthesis with total Eating Out market sizing.</w:t>
      </w:r>
    </w:p>
    <w:p w14:paraId="15153886" w14:textId="1A88733E" w:rsidR="00F66B0F" w:rsidRDefault="00F66B0F" w:rsidP="00F66B0F">
      <w:pPr>
        <w:pStyle w:val="Default"/>
        <w:numPr>
          <w:ilvl w:val="0"/>
          <w:numId w:val="2"/>
        </w:numPr>
        <w:rPr>
          <w:color w:val="3D343D"/>
          <w:sz w:val="23"/>
          <w:szCs w:val="23"/>
        </w:rPr>
      </w:pPr>
      <w:r w:rsidRPr="00F66B0F">
        <w:rPr>
          <w:b/>
          <w:bCs/>
          <w:color w:val="3D343D"/>
          <w:sz w:val="23"/>
          <w:szCs w:val="23"/>
        </w:rPr>
        <w:t>Menu Tracker</w:t>
      </w:r>
      <w:r>
        <w:rPr>
          <w:b/>
          <w:bCs/>
          <w:color w:val="3D343D"/>
          <w:sz w:val="23"/>
          <w:szCs w:val="23"/>
        </w:rPr>
        <w:t xml:space="preserve">: </w:t>
      </w:r>
      <w:r>
        <w:rPr>
          <w:color w:val="3D343D"/>
          <w:sz w:val="23"/>
          <w:szCs w:val="23"/>
        </w:rPr>
        <w:t xml:space="preserve">Lumina Intelligence’s Menu Tracker tool tracking menu data from +150 operators across the Eating Out market Spring/Summer 2017-2022, plus monthly data collection across four channels -February 2022-October 2022. </w:t>
      </w:r>
    </w:p>
    <w:p w14:paraId="7FB9C8F8" w14:textId="6D788CB6" w:rsidR="00F66B0F" w:rsidRDefault="00F66B0F" w:rsidP="00F66B0F">
      <w:pPr>
        <w:pStyle w:val="Default"/>
        <w:numPr>
          <w:ilvl w:val="0"/>
          <w:numId w:val="2"/>
        </w:numPr>
        <w:rPr>
          <w:color w:val="3D343D"/>
          <w:sz w:val="23"/>
          <w:szCs w:val="23"/>
        </w:rPr>
      </w:pPr>
      <w:r w:rsidRPr="00F66B0F">
        <w:rPr>
          <w:b/>
          <w:bCs/>
          <w:color w:val="3D343D"/>
          <w:sz w:val="23"/>
          <w:szCs w:val="23"/>
        </w:rPr>
        <w:t>Channel Pulse</w:t>
      </w:r>
      <w:r>
        <w:rPr>
          <w:b/>
          <w:bCs/>
          <w:color w:val="3D343D"/>
          <w:sz w:val="23"/>
          <w:szCs w:val="23"/>
        </w:rPr>
        <w:t xml:space="preserve">: </w:t>
      </w:r>
      <w:r>
        <w:rPr>
          <w:color w:val="3D343D"/>
          <w:sz w:val="23"/>
          <w:szCs w:val="23"/>
        </w:rPr>
        <w:t xml:space="preserve">A cross-channel data solution spanning in and out of home. Monitors and measures how consumers purchase their food and drink at all meal occasions and across all channels (1,000 respondents per week). </w:t>
      </w:r>
    </w:p>
    <w:p w14:paraId="44BB083F" w14:textId="12589924" w:rsidR="00F66B0F" w:rsidRDefault="00F66B0F" w:rsidP="00F66B0F">
      <w:pPr>
        <w:pStyle w:val="Default"/>
        <w:numPr>
          <w:ilvl w:val="0"/>
          <w:numId w:val="2"/>
        </w:numPr>
        <w:rPr>
          <w:color w:val="3D343D"/>
          <w:sz w:val="23"/>
          <w:szCs w:val="23"/>
        </w:rPr>
      </w:pPr>
      <w:r w:rsidRPr="00F66B0F">
        <w:rPr>
          <w:b/>
          <w:bCs/>
          <w:color w:val="3D343D"/>
          <w:sz w:val="23"/>
          <w:szCs w:val="23"/>
        </w:rPr>
        <w:t>Top Of Mind Leaders Survey</w:t>
      </w:r>
      <w:r>
        <w:rPr>
          <w:b/>
          <w:bCs/>
          <w:color w:val="3D343D"/>
          <w:sz w:val="23"/>
          <w:szCs w:val="23"/>
        </w:rPr>
        <w:t xml:space="preserve">: </w:t>
      </w:r>
      <w:r>
        <w:rPr>
          <w:color w:val="3D343D"/>
          <w:sz w:val="23"/>
          <w:szCs w:val="23"/>
        </w:rPr>
        <w:t xml:space="preserve">Lumina Intelligence Top </w:t>
      </w:r>
      <w:proofErr w:type="gramStart"/>
      <w:r>
        <w:rPr>
          <w:color w:val="3D343D"/>
          <w:sz w:val="23"/>
          <w:szCs w:val="23"/>
        </w:rPr>
        <w:t>Of</w:t>
      </w:r>
      <w:proofErr w:type="gramEnd"/>
      <w:r>
        <w:rPr>
          <w:color w:val="3D343D"/>
          <w:sz w:val="23"/>
          <w:szCs w:val="23"/>
        </w:rPr>
        <w:t xml:space="preserve"> Mind Business Professionals Survey investigating current trading conditions, the leading challenges and opportunities according to grocery retail and hospitality business professionals</w:t>
      </w:r>
    </w:p>
    <w:p w14:paraId="77ED06E9" w14:textId="77777777" w:rsidR="00F66B0F" w:rsidRDefault="00F66B0F" w:rsidP="00F66B0F">
      <w:pPr>
        <w:pStyle w:val="Default"/>
        <w:rPr>
          <w:color w:val="3D343D"/>
          <w:sz w:val="23"/>
          <w:szCs w:val="23"/>
        </w:rPr>
      </w:pPr>
    </w:p>
    <w:p w14:paraId="2EC54821" w14:textId="360963F9" w:rsidR="00F66B0F" w:rsidRPr="002B5973" w:rsidRDefault="00F66B0F" w:rsidP="00F66B0F">
      <w:pPr>
        <w:rPr>
          <w:sz w:val="24"/>
          <w:szCs w:val="24"/>
        </w:rPr>
      </w:pPr>
    </w:p>
    <w:sectPr w:rsidR="00F66B0F" w:rsidRPr="002B5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D51"/>
    <w:multiLevelType w:val="hybridMultilevel"/>
    <w:tmpl w:val="1F2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6193C"/>
    <w:multiLevelType w:val="hybridMultilevel"/>
    <w:tmpl w:val="95B4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90"/>
    <w:rsid w:val="0003672A"/>
    <w:rsid w:val="0003715F"/>
    <w:rsid w:val="00083D33"/>
    <w:rsid w:val="001C1D17"/>
    <w:rsid w:val="002B5973"/>
    <w:rsid w:val="00343E35"/>
    <w:rsid w:val="00347A85"/>
    <w:rsid w:val="00514984"/>
    <w:rsid w:val="00716B90"/>
    <w:rsid w:val="007541C7"/>
    <w:rsid w:val="008257A4"/>
    <w:rsid w:val="00861CEF"/>
    <w:rsid w:val="00877F71"/>
    <w:rsid w:val="00893411"/>
    <w:rsid w:val="00935362"/>
    <w:rsid w:val="009D77DE"/>
    <w:rsid w:val="009F3EA3"/>
    <w:rsid w:val="00A7696A"/>
    <w:rsid w:val="00B47A0A"/>
    <w:rsid w:val="00BB761B"/>
    <w:rsid w:val="00BF2EF4"/>
    <w:rsid w:val="00D23C07"/>
    <w:rsid w:val="00D37A69"/>
    <w:rsid w:val="00D45FB9"/>
    <w:rsid w:val="00E465FF"/>
    <w:rsid w:val="00EF2438"/>
    <w:rsid w:val="00F66B0F"/>
    <w:rsid w:val="00FB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FD2C"/>
  <w15:chartTrackingRefBased/>
  <w15:docId w15:val="{E1118738-531D-4B1D-A171-C2B488F9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72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4984"/>
    <w:pPr>
      <w:ind w:left="720"/>
      <w:contextualSpacing/>
    </w:pPr>
  </w:style>
  <w:style w:type="character" w:styleId="Hyperlink">
    <w:name w:val="Hyperlink"/>
    <w:basedOn w:val="DefaultParagraphFont"/>
    <w:uiPriority w:val="99"/>
    <w:unhideWhenUsed/>
    <w:rsid w:val="00B47A0A"/>
    <w:rPr>
      <w:color w:val="0563C1" w:themeColor="hyperlink"/>
      <w:u w:val="single"/>
    </w:rPr>
  </w:style>
  <w:style w:type="character" w:styleId="UnresolvedMention">
    <w:name w:val="Unresolved Mention"/>
    <w:basedOn w:val="DefaultParagraphFont"/>
    <w:uiPriority w:val="99"/>
    <w:semiHidden/>
    <w:unhideWhenUsed/>
    <w:rsid w:val="00B47A0A"/>
    <w:rPr>
      <w:color w:val="605E5C"/>
      <w:shd w:val="clear" w:color="auto" w:fill="E1DFDD"/>
    </w:rPr>
  </w:style>
  <w:style w:type="character" w:styleId="CommentReference">
    <w:name w:val="annotation reference"/>
    <w:basedOn w:val="DefaultParagraphFont"/>
    <w:uiPriority w:val="99"/>
    <w:semiHidden/>
    <w:unhideWhenUsed/>
    <w:rsid w:val="009F3EA3"/>
    <w:rPr>
      <w:sz w:val="16"/>
      <w:szCs w:val="16"/>
    </w:rPr>
  </w:style>
  <w:style w:type="paragraph" w:styleId="CommentText">
    <w:name w:val="annotation text"/>
    <w:basedOn w:val="Normal"/>
    <w:link w:val="CommentTextChar"/>
    <w:uiPriority w:val="99"/>
    <w:semiHidden/>
    <w:unhideWhenUsed/>
    <w:rsid w:val="009F3EA3"/>
    <w:pPr>
      <w:spacing w:line="240" w:lineRule="auto"/>
    </w:pPr>
    <w:rPr>
      <w:sz w:val="20"/>
      <w:szCs w:val="20"/>
    </w:rPr>
  </w:style>
  <w:style w:type="character" w:customStyle="1" w:styleId="CommentTextChar">
    <w:name w:val="Comment Text Char"/>
    <w:basedOn w:val="DefaultParagraphFont"/>
    <w:link w:val="CommentText"/>
    <w:uiPriority w:val="99"/>
    <w:semiHidden/>
    <w:rsid w:val="009F3EA3"/>
    <w:rPr>
      <w:sz w:val="20"/>
      <w:szCs w:val="20"/>
    </w:rPr>
  </w:style>
  <w:style w:type="paragraph" w:styleId="CommentSubject">
    <w:name w:val="annotation subject"/>
    <w:basedOn w:val="CommentText"/>
    <w:next w:val="CommentText"/>
    <w:link w:val="CommentSubjectChar"/>
    <w:uiPriority w:val="99"/>
    <w:semiHidden/>
    <w:unhideWhenUsed/>
    <w:rsid w:val="009F3EA3"/>
    <w:rPr>
      <w:b/>
      <w:bCs/>
    </w:rPr>
  </w:style>
  <w:style w:type="character" w:customStyle="1" w:styleId="CommentSubjectChar">
    <w:name w:val="Comment Subject Char"/>
    <w:basedOn w:val="CommentTextChar"/>
    <w:link w:val="CommentSubject"/>
    <w:uiPriority w:val="99"/>
    <w:semiHidden/>
    <w:rsid w:val="009F3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203">
      <w:bodyDiv w:val="1"/>
      <w:marLeft w:val="0"/>
      <w:marRight w:val="0"/>
      <w:marTop w:val="0"/>
      <w:marBottom w:val="0"/>
      <w:divBdr>
        <w:top w:val="none" w:sz="0" w:space="0" w:color="auto"/>
        <w:left w:val="none" w:sz="0" w:space="0" w:color="auto"/>
        <w:bottom w:val="none" w:sz="0" w:space="0" w:color="auto"/>
        <w:right w:val="none" w:sz="0" w:space="0" w:color="auto"/>
      </w:divBdr>
    </w:div>
    <w:div w:id="214314419">
      <w:bodyDiv w:val="1"/>
      <w:marLeft w:val="0"/>
      <w:marRight w:val="0"/>
      <w:marTop w:val="0"/>
      <w:marBottom w:val="0"/>
      <w:divBdr>
        <w:top w:val="none" w:sz="0" w:space="0" w:color="auto"/>
        <w:left w:val="none" w:sz="0" w:space="0" w:color="auto"/>
        <w:bottom w:val="none" w:sz="0" w:space="0" w:color="auto"/>
        <w:right w:val="none" w:sz="0" w:space="0" w:color="auto"/>
      </w:divBdr>
    </w:div>
    <w:div w:id="861699081">
      <w:bodyDiv w:val="1"/>
      <w:marLeft w:val="0"/>
      <w:marRight w:val="0"/>
      <w:marTop w:val="0"/>
      <w:marBottom w:val="0"/>
      <w:divBdr>
        <w:top w:val="none" w:sz="0" w:space="0" w:color="auto"/>
        <w:left w:val="none" w:sz="0" w:space="0" w:color="auto"/>
        <w:bottom w:val="none" w:sz="0" w:space="0" w:color="auto"/>
        <w:right w:val="none" w:sz="0" w:space="0" w:color="auto"/>
      </w:divBdr>
    </w:div>
    <w:div w:id="10617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lumina-intelligence.com/product/menu-food-trends-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10</cp:revision>
  <dcterms:created xsi:type="dcterms:W3CDTF">2023-01-06T09:25:00Z</dcterms:created>
  <dcterms:modified xsi:type="dcterms:W3CDTF">2023-01-11T16:11:00Z</dcterms:modified>
</cp:coreProperties>
</file>