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724F" w14:textId="77777777" w:rsidR="000C66E9" w:rsidRPr="008B64C2" w:rsidRDefault="000C66E9" w:rsidP="000C66E9">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1BBE5F22" wp14:editId="715469F3">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4E90ABA" w14:textId="77777777" w:rsidR="000C66E9" w:rsidRPr="008B64C2" w:rsidRDefault="000C66E9" w:rsidP="000C66E9">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B4D6D18" w14:textId="77777777" w:rsidR="000C66E9" w:rsidRPr="008B64C2" w:rsidRDefault="000C66E9" w:rsidP="000C66E9">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245EFE4C" w14:textId="77777777" w:rsidR="000C66E9" w:rsidRPr="008B64C2" w:rsidRDefault="000C66E9" w:rsidP="000C66E9">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6B4E7582" w14:textId="77777777" w:rsidR="000C66E9" w:rsidRPr="008B64C2" w:rsidRDefault="00971EE8" w:rsidP="000C66E9">
      <w:pPr>
        <w:spacing w:after="0" w:line="240" w:lineRule="auto"/>
        <w:rPr>
          <w:rStyle w:val="Hyperlink"/>
          <w:rFonts w:asciiTheme="majorHAnsi" w:hAnsiTheme="majorHAnsi" w:cstheme="majorHAnsi"/>
          <w:color w:val="505050"/>
          <w:sz w:val="20"/>
          <w:szCs w:val="20"/>
        </w:rPr>
      </w:pPr>
      <w:hyperlink r:id="rId6" w:history="1">
        <w:r w:rsidR="000C66E9" w:rsidRPr="008B64C2">
          <w:rPr>
            <w:rStyle w:val="Hyperlink"/>
            <w:rFonts w:asciiTheme="majorHAnsi" w:hAnsiTheme="majorHAnsi" w:cstheme="majorHAnsi"/>
            <w:b/>
            <w:bCs/>
            <w:sz w:val="20"/>
            <w:szCs w:val="20"/>
          </w:rPr>
          <w:t>monica.ricocastrillo@lumina-intelligence.co.uk</w:t>
        </w:r>
      </w:hyperlink>
    </w:p>
    <w:p w14:paraId="3BFEFC81" w14:textId="77777777" w:rsidR="000C66E9" w:rsidRPr="008B64C2" w:rsidRDefault="000C66E9" w:rsidP="000C66E9">
      <w:pPr>
        <w:spacing w:after="0" w:line="240" w:lineRule="auto"/>
        <w:rPr>
          <w:rFonts w:asciiTheme="majorHAnsi" w:hAnsiTheme="majorHAnsi" w:cstheme="majorHAnsi"/>
          <w:sz w:val="20"/>
          <w:szCs w:val="20"/>
          <w:u w:val="single"/>
        </w:rPr>
      </w:pPr>
    </w:p>
    <w:p w14:paraId="4029B981" w14:textId="2A919809" w:rsidR="000C66E9" w:rsidRPr="00944B93" w:rsidRDefault="000C66E9" w:rsidP="000C66E9">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16</w:t>
      </w:r>
      <w:r w:rsidRPr="008B64C2">
        <w:rPr>
          <w:rFonts w:asciiTheme="majorHAnsi" w:hAnsiTheme="majorHAnsi" w:cstheme="majorHAnsi"/>
          <w:b/>
          <w:bCs/>
          <w:sz w:val="20"/>
          <w:szCs w:val="20"/>
          <w:u w:val="single"/>
          <w:vertAlign w:val="superscript"/>
        </w:rPr>
        <w:t>th</w:t>
      </w:r>
      <w:r w:rsidRPr="008B64C2">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February</w:t>
      </w:r>
      <w:r w:rsidRPr="008B64C2">
        <w:rPr>
          <w:rFonts w:asciiTheme="majorHAnsi" w:hAnsiTheme="majorHAnsi" w:cstheme="majorHAnsi"/>
          <w:b/>
          <w:bCs/>
          <w:sz w:val="20"/>
          <w:szCs w:val="20"/>
          <w:u w:val="single"/>
        </w:rPr>
        <w:t xml:space="preserve"> 2023</w:t>
      </w:r>
    </w:p>
    <w:p w14:paraId="31C5365E" w14:textId="77777777" w:rsidR="000C66E9" w:rsidRDefault="000C66E9">
      <w:pPr>
        <w:rPr>
          <w:b/>
          <w:bCs/>
          <w:sz w:val="24"/>
          <w:szCs w:val="24"/>
        </w:rPr>
      </w:pPr>
    </w:p>
    <w:p w14:paraId="67901295" w14:textId="77777777" w:rsidR="000C66E9" w:rsidRDefault="000C66E9">
      <w:pPr>
        <w:rPr>
          <w:b/>
          <w:bCs/>
          <w:sz w:val="24"/>
          <w:szCs w:val="24"/>
        </w:rPr>
      </w:pPr>
    </w:p>
    <w:p w14:paraId="5CAEF3F4" w14:textId="75C37C9A" w:rsidR="00E465FF" w:rsidRPr="000C66E9" w:rsidRDefault="000C66E9">
      <w:pPr>
        <w:rPr>
          <w:b/>
          <w:bCs/>
          <w:sz w:val="24"/>
          <w:szCs w:val="24"/>
        </w:rPr>
      </w:pPr>
      <w:r w:rsidRPr="000C66E9">
        <w:rPr>
          <w:b/>
          <w:bCs/>
          <w:sz w:val="24"/>
          <w:szCs w:val="24"/>
        </w:rPr>
        <w:t>UK's Food and Beverage Market Bounces Back as Consumers Return to Pre-Pandemic Habits</w:t>
      </w:r>
    </w:p>
    <w:p w14:paraId="06BDCF33" w14:textId="3AC29797" w:rsidR="000C66E9" w:rsidRDefault="000C66E9"/>
    <w:p w14:paraId="5C47EFEC" w14:textId="64AFBC2E" w:rsidR="000C66E9" w:rsidRDefault="000C66E9" w:rsidP="000C66E9">
      <w:r>
        <w:t xml:space="preserve">The latest data from the Lumina Intelligence </w:t>
      </w:r>
      <w:hyperlink r:id="rId7" w:history="1">
        <w:r w:rsidRPr="00D0512F">
          <w:rPr>
            <w:rStyle w:val="Hyperlink"/>
          </w:rPr>
          <w:t>Eating and Drinking Out Panel</w:t>
        </w:r>
      </w:hyperlink>
      <w:r>
        <w:t xml:space="preserve"> reveals that the UK's food and beverage market is showing signs of recovery after a challenging year. The removal of coronavirus restrictions and the return of workers to offices have led to a 2</w:t>
      </w:r>
      <w:r w:rsidR="00971EE8">
        <w:t>%</w:t>
      </w:r>
      <w:r>
        <w:t xml:space="preserve"> year-on-year increase in penetration, indicating that consumers are participating more in the market.</w:t>
      </w:r>
    </w:p>
    <w:p w14:paraId="0761FCB0" w14:textId="22E12B7B" w:rsidR="000C66E9" w:rsidRDefault="000C66E9" w:rsidP="000C66E9">
      <w:r>
        <w:t>However, the frequency of occasions has remained stable year-on-year due to the rising cost of living. Inflation, rising energy costs, and the war in Ukraine have driven up food prices, resulting in an 8% year-on-year increase in average spend. As a result, consumers are turning to more affordable options when eating out, which has led to spend increases that are behind inflation levels.</w:t>
      </w:r>
    </w:p>
    <w:p w14:paraId="6AA2E81E" w14:textId="40D27BA5" w:rsidR="000C66E9" w:rsidRDefault="000C66E9" w:rsidP="000C66E9">
      <w:r>
        <w:t xml:space="preserve">Consumers' priorities have shifted towards socializing, resulting in a 3-percentage-point year-on-year increase in pubs and bars' share of occasions. With pandemic fears easing, consumers are returning to pre-pandemic </w:t>
      </w:r>
      <w:r w:rsidR="00D0512F">
        <w:t>behaviours</w:t>
      </w:r>
      <w:r>
        <w:t>, resulting in an increase in pub occasions. The data also shows that</w:t>
      </w:r>
      <w:r w:rsidR="00971EE8">
        <w:t xml:space="preserve"> </w:t>
      </w:r>
      <w:r w:rsidR="00971EE8">
        <w:t>occasions where consumers were purchasing chips</w:t>
      </w:r>
      <w:r>
        <w:t xml:space="preserve"> grew by 2.4</w:t>
      </w:r>
      <w:r w:rsidR="00971EE8">
        <w:t>%</w:t>
      </w:r>
      <w:r>
        <w:t>, and burgers by 1.8</w:t>
      </w:r>
      <w:r w:rsidR="00971EE8">
        <w:t>%</w:t>
      </w:r>
      <w:r>
        <w:t>, as consumers purchase</w:t>
      </w:r>
      <w:r w:rsidR="00971EE8">
        <w:t>d</w:t>
      </w:r>
      <w:r>
        <w:t xml:space="preserve"> pub classics.</w:t>
      </w:r>
    </w:p>
    <w:p w14:paraId="19D2231F" w14:textId="3060BB47" w:rsidR="000C66E9" w:rsidRDefault="000C66E9" w:rsidP="000C66E9">
      <w:r>
        <w:t xml:space="preserve">"We are delighted to see that the UK's food and beverage market is showing signs of recovery after a challenging year. With the easing of Covid fears, consumers are returning to pre-pandemic </w:t>
      </w:r>
      <w:r w:rsidR="00D0512F">
        <w:t>behaviours</w:t>
      </w:r>
      <w:r>
        <w:t xml:space="preserve">, which is resulting in an increase in </w:t>
      </w:r>
      <w:r w:rsidR="00971EE8">
        <w:t>the penetration within the market</w:t>
      </w:r>
      <w:r>
        <w:t xml:space="preserve">," said Sorcha Simons, Insights Manager at Lumina Intelligence. </w:t>
      </w:r>
    </w:p>
    <w:p w14:paraId="20CF1E1C" w14:textId="4970CE22" w:rsidR="000C66E9" w:rsidRDefault="000C66E9" w:rsidP="000C66E9">
      <w:r>
        <w:t>However, QSR (quick-service restaurant) occasions have declined year-on-year following increased demand for delivered channels during the pandemic.</w:t>
      </w:r>
    </w:p>
    <w:p w14:paraId="563E614F" w14:textId="7BE70FB1" w:rsidR="000C66E9" w:rsidRDefault="000C66E9" w:rsidP="000C66E9">
      <w:r>
        <w:t xml:space="preserve">The </w:t>
      </w:r>
      <w:hyperlink r:id="rId8" w:history="1">
        <w:r w:rsidR="00D0512F" w:rsidRPr="00D0512F">
          <w:rPr>
            <w:rStyle w:val="Hyperlink"/>
          </w:rPr>
          <w:t>Eating and Drinking Out panel (EDOP)</w:t>
        </w:r>
      </w:hyperlink>
      <w:r>
        <w:t xml:space="preserve"> provides valuable insights into the UK's food and beverage market, which businesses can use to make informed decisions about their strategies.</w:t>
      </w:r>
    </w:p>
    <w:p w14:paraId="6E90F0FD" w14:textId="4979F97A" w:rsidR="00D0512F" w:rsidRDefault="00D0512F" w:rsidP="000C66E9"/>
    <w:p w14:paraId="6764968F" w14:textId="2CD8D363" w:rsidR="00D0512F" w:rsidRDefault="00D0512F" w:rsidP="000C66E9">
      <w:r>
        <w:t>ENDS</w:t>
      </w:r>
    </w:p>
    <w:p w14:paraId="15323ED4" w14:textId="43A117E4" w:rsidR="00D0512F" w:rsidRDefault="00D0512F" w:rsidP="000C66E9"/>
    <w:p w14:paraId="23142167" w14:textId="77777777" w:rsidR="00D0512F" w:rsidRDefault="00D0512F" w:rsidP="00D0512F">
      <w:pPr>
        <w:rPr>
          <w:rFonts w:cstheme="minorHAnsi"/>
          <w:b/>
          <w:bCs/>
        </w:rPr>
      </w:pPr>
      <w:r w:rsidRPr="00C87FF4">
        <w:rPr>
          <w:rFonts w:cstheme="minorHAnsi"/>
          <w:b/>
          <w:bCs/>
        </w:rPr>
        <w:t>Report Methodology</w:t>
      </w:r>
    </w:p>
    <w:p w14:paraId="161E6D9B" w14:textId="66722FC4" w:rsidR="00D0512F" w:rsidRDefault="00D0512F" w:rsidP="00D0512F">
      <w:r w:rsidRPr="00D0512F">
        <w:t xml:space="preserve">Lumina Intelligence </w:t>
      </w:r>
      <w:hyperlink r:id="rId9" w:history="1">
        <w:r w:rsidRPr="00D0512F">
          <w:rPr>
            <w:rStyle w:val="Hyperlink"/>
          </w:rPr>
          <w:t>Eating &amp; Drinking Out panel</w:t>
        </w:r>
      </w:hyperlink>
      <w:r w:rsidRPr="00D0512F">
        <w:t xml:space="preserve"> is based on 78,000 surveys across the year, built up from a nationally representative weekly sample of 1,500 shoppers. Our comprehensive coverage includes over 900 operators from across all out of home channels </w:t>
      </w:r>
      <w:r w:rsidRPr="00D0512F">
        <w:lastRenderedPageBreak/>
        <w:t xml:space="preserve">– including restaurants, pubs and bars, cafes and coffee shops, fast food, bakery &amp; sandwich, </w:t>
      </w:r>
      <w:r w:rsidR="00971EE8" w:rsidRPr="00D0512F">
        <w:t>restaurants,</w:t>
      </w:r>
      <w:r w:rsidRPr="00D0512F">
        <w:t xml:space="preserve"> and retail channels. We cover dine-in as well as food &amp; drinks consumed on the go, delivered, takeaway and click &amp; collect.</w:t>
      </w:r>
    </w:p>
    <w:p w14:paraId="564D25A3" w14:textId="77777777" w:rsidR="00D0512F" w:rsidRDefault="00D0512F" w:rsidP="00D0512F">
      <w:pPr>
        <w:rPr>
          <w:rFonts w:cstheme="minorHAnsi"/>
          <w:b/>
          <w:bCs/>
        </w:rPr>
      </w:pPr>
    </w:p>
    <w:p w14:paraId="05982190" w14:textId="689FD221" w:rsidR="00D0512F" w:rsidRPr="00C87FF4" w:rsidRDefault="00D0512F" w:rsidP="00D0512F">
      <w:pPr>
        <w:rPr>
          <w:rFonts w:cstheme="minorHAnsi"/>
          <w:b/>
          <w:bCs/>
        </w:rPr>
      </w:pPr>
      <w:r w:rsidRPr="00C87FF4">
        <w:rPr>
          <w:rFonts w:cstheme="minorHAnsi"/>
          <w:b/>
          <w:bCs/>
        </w:rPr>
        <w:t>About Lumina Intelligence</w:t>
      </w:r>
    </w:p>
    <w:p w14:paraId="384C3B20" w14:textId="77777777" w:rsidR="00D0512F" w:rsidRPr="00C87FF4" w:rsidRDefault="00D0512F" w:rsidP="00D0512F">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5F84FBBC" w14:textId="77777777" w:rsidR="00D0512F" w:rsidRPr="00C87FF4" w:rsidRDefault="00D0512F" w:rsidP="00D0512F">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0BBA5595" w14:textId="77777777" w:rsidR="00D0512F" w:rsidRPr="00894567" w:rsidRDefault="00971EE8" w:rsidP="00D0512F">
      <w:hyperlink r:id="rId10" w:history="1">
        <w:r w:rsidR="00D0512F" w:rsidRPr="00B74951">
          <w:rPr>
            <w:rStyle w:val="Hyperlink"/>
            <w:rFonts w:cstheme="minorHAnsi"/>
          </w:rPr>
          <w:t>https://www.lumina-intelligence.com/</w:t>
        </w:r>
      </w:hyperlink>
      <w:r w:rsidR="00D0512F">
        <w:rPr>
          <w:rFonts w:cstheme="minorHAnsi"/>
        </w:rPr>
        <w:t xml:space="preserve"> </w:t>
      </w:r>
    </w:p>
    <w:p w14:paraId="002ACD66" w14:textId="77777777" w:rsidR="00D0512F" w:rsidRDefault="00D0512F" w:rsidP="00D0512F"/>
    <w:sectPr w:rsidR="00D05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5623"/>
    <w:multiLevelType w:val="multilevel"/>
    <w:tmpl w:val="7504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71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E9"/>
    <w:rsid w:val="000C66E9"/>
    <w:rsid w:val="002114E5"/>
    <w:rsid w:val="00736DEC"/>
    <w:rsid w:val="00971EE8"/>
    <w:rsid w:val="00D0512F"/>
    <w:rsid w:val="00E4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1109"/>
  <w15:chartTrackingRefBased/>
  <w15:docId w15:val="{31865A04-D5FD-4FCC-AB67-C84B9187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6E9"/>
    <w:rPr>
      <w:color w:val="0563C1" w:themeColor="hyperlink"/>
      <w:u w:val="single"/>
    </w:rPr>
  </w:style>
  <w:style w:type="character" w:styleId="UnresolvedMention">
    <w:name w:val="Unresolved Mention"/>
    <w:basedOn w:val="DefaultParagraphFont"/>
    <w:uiPriority w:val="99"/>
    <w:semiHidden/>
    <w:unhideWhenUsed/>
    <w:rsid w:val="00D0512F"/>
    <w:rPr>
      <w:color w:val="605E5C"/>
      <w:shd w:val="clear" w:color="auto" w:fill="E1DFDD"/>
    </w:rPr>
  </w:style>
  <w:style w:type="character" w:styleId="CommentReference">
    <w:name w:val="annotation reference"/>
    <w:basedOn w:val="DefaultParagraphFont"/>
    <w:uiPriority w:val="99"/>
    <w:semiHidden/>
    <w:unhideWhenUsed/>
    <w:rsid w:val="002114E5"/>
    <w:rPr>
      <w:sz w:val="16"/>
      <w:szCs w:val="16"/>
    </w:rPr>
  </w:style>
  <w:style w:type="paragraph" w:styleId="CommentText">
    <w:name w:val="annotation text"/>
    <w:basedOn w:val="Normal"/>
    <w:link w:val="CommentTextChar"/>
    <w:uiPriority w:val="99"/>
    <w:semiHidden/>
    <w:unhideWhenUsed/>
    <w:rsid w:val="002114E5"/>
    <w:pPr>
      <w:spacing w:line="240" w:lineRule="auto"/>
    </w:pPr>
    <w:rPr>
      <w:sz w:val="20"/>
      <w:szCs w:val="20"/>
    </w:rPr>
  </w:style>
  <w:style w:type="character" w:customStyle="1" w:styleId="CommentTextChar">
    <w:name w:val="Comment Text Char"/>
    <w:basedOn w:val="DefaultParagraphFont"/>
    <w:link w:val="CommentText"/>
    <w:uiPriority w:val="99"/>
    <w:semiHidden/>
    <w:rsid w:val="002114E5"/>
    <w:rPr>
      <w:sz w:val="20"/>
      <w:szCs w:val="20"/>
    </w:rPr>
  </w:style>
  <w:style w:type="paragraph" w:styleId="CommentSubject">
    <w:name w:val="annotation subject"/>
    <w:basedOn w:val="CommentText"/>
    <w:next w:val="CommentText"/>
    <w:link w:val="CommentSubjectChar"/>
    <w:uiPriority w:val="99"/>
    <w:semiHidden/>
    <w:unhideWhenUsed/>
    <w:rsid w:val="002114E5"/>
    <w:rPr>
      <w:b/>
      <w:bCs/>
    </w:rPr>
  </w:style>
  <w:style w:type="character" w:customStyle="1" w:styleId="CommentSubjectChar">
    <w:name w:val="Comment Subject Char"/>
    <w:basedOn w:val="CommentTextChar"/>
    <w:link w:val="CommentSubject"/>
    <w:uiPriority w:val="99"/>
    <w:semiHidden/>
    <w:rsid w:val="00211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3621">
      <w:bodyDiv w:val="1"/>
      <w:marLeft w:val="0"/>
      <w:marRight w:val="0"/>
      <w:marTop w:val="0"/>
      <w:marBottom w:val="0"/>
      <w:divBdr>
        <w:top w:val="none" w:sz="0" w:space="0" w:color="auto"/>
        <w:left w:val="none" w:sz="0" w:space="0" w:color="auto"/>
        <w:bottom w:val="none" w:sz="0" w:space="0" w:color="auto"/>
        <w:right w:val="none" w:sz="0" w:space="0" w:color="auto"/>
      </w:divBdr>
    </w:div>
    <w:div w:id="13227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eating-and-drinking-out-panel/"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product/eating-and-drinking-ou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2023-02-16T14:06:00Z</dcterms:created>
  <dcterms:modified xsi:type="dcterms:W3CDTF">2023-02-16T14:06:00Z</dcterms:modified>
</cp:coreProperties>
</file>