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C8C3"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7E5DE21F" wp14:editId="72B8A95B">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56B4B3C9"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6D6202C7"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6411878C"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07423555808</w:t>
      </w:r>
    </w:p>
    <w:p w14:paraId="0F89FE6C" w14:textId="77777777" w:rsidR="001B10D8" w:rsidRPr="001B2381" w:rsidRDefault="00884BCF" w:rsidP="001B10D8">
      <w:pPr>
        <w:spacing w:after="0" w:line="240" w:lineRule="auto"/>
        <w:rPr>
          <w:rFonts w:asciiTheme="majorHAnsi" w:hAnsiTheme="majorHAnsi" w:cstheme="majorHAnsi"/>
          <w:sz w:val="20"/>
          <w:szCs w:val="20"/>
          <w:u w:val="single"/>
        </w:rPr>
      </w:pPr>
      <w:hyperlink r:id="rId6" w:history="1">
        <w:r w:rsidR="001B10D8" w:rsidRPr="001B2381">
          <w:rPr>
            <w:rFonts w:asciiTheme="majorHAnsi" w:hAnsiTheme="majorHAnsi" w:cstheme="majorHAnsi"/>
            <w:b/>
            <w:bCs/>
            <w:sz w:val="20"/>
            <w:szCs w:val="20"/>
            <w:u w:val="single"/>
          </w:rPr>
          <w:t>monica.ricocastrillo@lumina-intelligence.co.uk</w:t>
        </w:r>
      </w:hyperlink>
    </w:p>
    <w:p w14:paraId="3BF232AD" w14:textId="77777777" w:rsidR="001B10D8" w:rsidRPr="001B2381" w:rsidRDefault="001B10D8" w:rsidP="001B10D8">
      <w:pPr>
        <w:spacing w:after="0" w:line="240" w:lineRule="auto"/>
        <w:rPr>
          <w:rFonts w:asciiTheme="majorHAnsi" w:hAnsiTheme="majorHAnsi" w:cstheme="majorHAnsi"/>
          <w:sz w:val="20"/>
          <w:szCs w:val="20"/>
          <w:u w:val="single"/>
        </w:rPr>
      </w:pPr>
    </w:p>
    <w:p w14:paraId="558EEE96" w14:textId="0620AB0F" w:rsidR="001B10D8" w:rsidRPr="001B2381" w:rsidRDefault="00080EF1" w:rsidP="001B10D8">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24</w:t>
      </w:r>
      <w:r w:rsidR="001B10D8" w:rsidRPr="001B2381">
        <w:rPr>
          <w:rFonts w:asciiTheme="majorHAnsi" w:hAnsiTheme="majorHAnsi" w:cstheme="majorHAnsi"/>
          <w:b/>
          <w:bCs/>
          <w:sz w:val="20"/>
          <w:szCs w:val="20"/>
          <w:u w:val="single"/>
          <w:vertAlign w:val="superscript"/>
        </w:rPr>
        <w:t>th</w:t>
      </w:r>
      <w:r w:rsidR="001B10D8" w:rsidRPr="001B2381">
        <w:rPr>
          <w:rFonts w:asciiTheme="majorHAnsi" w:hAnsiTheme="majorHAnsi" w:cstheme="majorHAnsi"/>
          <w:b/>
          <w:bCs/>
          <w:sz w:val="20"/>
          <w:szCs w:val="20"/>
          <w:u w:val="single"/>
        </w:rPr>
        <w:t xml:space="preserve"> January 202</w:t>
      </w:r>
      <w:r>
        <w:rPr>
          <w:rFonts w:asciiTheme="majorHAnsi" w:hAnsiTheme="majorHAnsi" w:cstheme="majorHAnsi"/>
          <w:b/>
          <w:bCs/>
          <w:sz w:val="20"/>
          <w:szCs w:val="20"/>
          <w:u w:val="single"/>
        </w:rPr>
        <w:t>4</w:t>
      </w:r>
    </w:p>
    <w:p w14:paraId="6763E53A" w14:textId="77777777" w:rsidR="001B10D8" w:rsidRPr="001B2381" w:rsidRDefault="001B10D8" w:rsidP="001B10D8">
      <w:pPr>
        <w:pStyle w:val="Default"/>
        <w:rPr>
          <w:color w:val="auto"/>
          <w:sz w:val="20"/>
          <w:szCs w:val="20"/>
        </w:rPr>
      </w:pPr>
    </w:p>
    <w:p w14:paraId="1F25FA61" w14:textId="5EC943FD" w:rsidR="00D020E8" w:rsidRPr="008E3157" w:rsidRDefault="00D020E8">
      <w:pPr>
        <w:rPr>
          <w:color w:val="FF0000"/>
          <w:sz w:val="20"/>
          <w:szCs w:val="20"/>
        </w:rPr>
      </w:pPr>
      <w:r w:rsidRPr="008E3157">
        <w:rPr>
          <w:color w:val="FF0000"/>
          <w:sz w:val="20"/>
          <w:szCs w:val="20"/>
        </w:rPr>
        <w:t xml:space="preserve"> </w:t>
      </w:r>
    </w:p>
    <w:p w14:paraId="565AD5BD" w14:textId="01DD53EB" w:rsidR="00080EF1" w:rsidRPr="00080EF1" w:rsidRDefault="00080EF1" w:rsidP="00080EF1">
      <w:pPr>
        <w:rPr>
          <w:b/>
          <w:bCs/>
          <w:sz w:val="24"/>
          <w:szCs w:val="24"/>
        </w:rPr>
      </w:pPr>
      <w:r w:rsidRPr="00080EF1">
        <w:rPr>
          <w:b/>
          <w:bCs/>
          <w:sz w:val="24"/>
          <w:szCs w:val="24"/>
        </w:rPr>
        <w:t>UK Restaurant Market Thrives Amidst Economic Challenges: Valued at £18.</w:t>
      </w:r>
      <w:r w:rsidR="00884BCF">
        <w:rPr>
          <w:b/>
          <w:bCs/>
          <w:sz w:val="24"/>
          <w:szCs w:val="24"/>
        </w:rPr>
        <w:t>6</w:t>
      </w:r>
      <w:r w:rsidRPr="00080EF1">
        <w:rPr>
          <w:b/>
          <w:bCs/>
          <w:sz w:val="24"/>
          <w:szCs w:val="24"/>
        </w:rPr>
        <w:t xml:space="preserve">bn in </w:t>
      </w:r>
      <w:proofErr w:type="gramStart"/>
      <w:r w:rsidRPr="00080EF1">
        <w:rPr>
          <w:b/>
          <w:bCs/>
          <w:sz w:val="24"/>
          <w:szCs w:val="24"/>
        </w:rPr>
        <w:t>2023</w:t>
      </w:r>
      <w:proofErr w:type="gramEnd"/>
    </w:p>
    <w:p w14:paraId="565DDC29" w14:textId="77777777" w:rsidR="00F849A2" w:rsidRDefault="00F849A2" w:rsidP="00BA2F38">
      <w:pPr>
        <w:rPr>
          <w:sz w:val="20"/>
          <w:szCs w:val="20"/>
        </w:rPr>
      </w:pPr>
    </w:p>
    <w:p w14:paraId="0B84B3E3" w14:textId="741279A3" w:rsidR="00080EF1" w:rsidRPr="00080EF1" w:rsidRDefault="00080EF1" w:rsidP="00080EF1">
      <w:pPr>
        <w:rPr>
          <w:sz w:val="20"/>
          <w:szCs w:val="20"/>
        </w:rPr>
      </w:pPr>
      <w:r w:rsidRPr="00080EF1">
        <w:rPr>
          <w:sz w:val="20"/>
          <w:szCs w:val="20"/>
        </w:rPr>
        <w:t xml:space="preserve">According to the latest insights from Lumina Intelligence's </w:t>
      </w:r>
      <w:hyperlink r:id="rId7" w:history="1">
        <w:r w:rsidRPr="00080EF1">
          <w:rPr>
            <w:rStyle w:val="Hyperlink"/>
            <w:sz w:val="20"/>
            <w:szCs w:val="20"/>
          </w:rPr>
          <w:t>Operator Data Index</w:t>
        </w:r>
      </w:hyperlink>
      <w:r w:rsidRPr="00080EF1">
        <w:rPr>
          <w:sz w:val="20"/>
          <w:szCs w:val="20"/>
        </w:rPr>
        <w:t>, the UK restaurant market exhibited resilience in 2023, reaching a valuation of £18.</w:t>
      </w:r>
      <w:r w:rsidR="00884BCF">
        <w:rPr>
          <w:sz w:val="20"/>
          <w:szCs w:val="20"/>
        </w:rPr>
        <w:t>6</w:t>
      </w:r>
      <w:r w:rsidRPr="00080EF1">
        <w:rPr>
          <w:sz w:val="20"/>
          <w:szCs w:val="20"/>
        </w:rPr>
        <w:t xml:space="preserve"> billion. Despite economic challenges marked by high inflation, the industry experienced a commendable growth rate of +</w:t>
      </w:r>
      <w:r w:rsidR="00884BCF">
        <w:rPr>
          <w:sz w:val="20"/>
          <w:szCs w:val="20"/>
        </w:rPr>
        <w:t>4.4</w:t>
      </w:r>
      <w:r w:rsidRPr="00080EF1">
        <w:rPr>
          <w:sz w:val="20"/>
          <w:szCs w:val="20"/>
        </w:rPr>
        <w:t>% during the same period.</w:t>
      </w:r>
    </w:p>
    <w:p w14:paraId="7CF5B01A" w14:textId="77777777" w:rsidR="00080EF1" w:rsidRPr="00080EF1" w:rsidRDefault="00080EF1" w:rsidP="00080EF1">
      <w:pPr>
        <w:rPr>
          <w:sz w:val="20"/>
          <w:szCs w:val="20"/>
        </w:rPr>
      </w:pPr>
      <w:r w:rsidRPr="00080EF1">
        <w:rPr>
          <w:sz w:val="20"/>
          <w:szCs w:val="20"/>
        </w:rPr>
        <w:t>The report highlights that the overall eating out market achieved a slightly higher growth rate of +5.8%, indicating that restaurant closures and restricted consumer spending have posed challenges for further market expansion.</w:t>
      </w:r>
    </w:p>
    <w:p w14:paraId="7871CED3" w14:textId="77777777" w:rsidR="00080EF1" w:rsidRPr="00080EF1" w:rsidRDefault="00080EF1" w:rsidP="00080EF1">
      <w:pPr>
        <w:rPr>
          <w:sz w:val="20"/>
          <w:szCs w:val="20"/>
        </w:rPr>
      </w:pPr>
      <w:r w:rsidRPr="00080EF1">
        <w:rPr>
          <w:sz w:val="20"/>
          <w:szCs w:val="20"/>
        </w:rPr>
        <w:t>Notably, branded restaurants emerged as a success story in 2023, achieving a remarkable turnover growth of +7.7%. The market has witnessed a distinct polarization, with premium brands such as The Ivy, Côte, and Miller &amp; Carter thriving while mid-market brands faced struggles. The shifting preferences of consumers have notably favoured fast-growing brands like Flat Iron and Rudy’s Pizza, which offer high-quality experiences at accessible price points.</w:t>
      </w:r>
    </w:p>
    <w:p w14:paraId="41187EBF" w14:textId="77777777" w:rsidR="00080EF1" w:rsidRPr="00080EF1" w:rsidRDefault="00080EF1" w:rsidP="00080EF1">
      <w:pPr>
        <w:rPr>
          <w:sz w:val="20"/>
          <w:szCs w:val="20"/>
        </w:rPr>
      </w:pPr>
      <w:proofErr w:type="gramStart"/>
      <w:r w:rsidRPr="00080EF1">
        <w:rPr>
          <w:sz w:val="20"/>
          <w:szCs w:val="20"/>
        </w:rPr>
        <w:t>In an effort to</w:t>
      </w:r>
      <w:proofErr w:type="gramEnd"/>
      <w:r w:rsidRPr="00080EF1">
        <w:rPr>
          <w:sz w:val="20"/>
          <w:szCs w:val="20"/>
        </w:rPr>
        <w:t xml:space="preserve"> boost profitability, restaurant groups have strategically rationalised their estates. Leading brands experienced a decline in estate size by a combined average of -2.6%, largely driven by mid-market chains undergoing estate restructuring to alleviate debt. Seizing this opportunity, stronger operators such as The Big Table Group increased their acquisition activity, aiming to consolidate market positioning, secure synergies, and expand their reach.</w:t>
      </w:r>
    </w:p>
    <w:p w14:paraId="710AED16" w14:textId="142FB455" w:rsidR="00462EF0" w:rsidRPr="001B2381" w:rsidRDefault="00462EF0" w:rsidP="00462EF0">
      <w:pPr>
        <w:rPr>
          <w:b/>
          <w:bCs/>
          <w:sz w:val="20"/>
          <w:szCs w:val="20"/>
        </w:rPr>
      </w:pPr>
    </w:p>
    <w:p w14:paraId="0525D748" w14:textId="61C2929A" w:rsidR="001B10D8" w:rsidRPr="001B2381" w:rsidRDefault="001B10D8" w:rsidP="00462EF0">
      <w:pPr>
        <w:rPr>
          <w:b/>
          <w:bCs/>
          <w:sz w:val="20"/>
          <w:szCs w:val="20"/>
        </w:rPr>
      </w:pPr>
      <w:r w:rsidRPr="001B2381">
        <w:rPr>
          <w:b/>
          <w:bCs/>
          <w:sz w:val="20"/>
          <w:szCs w:val="20"/>
        </w:rPr>
        <w:t>ENDS</w:t>
      </w:r>
    </w:p>
    <w:p w14:paraId="007EFB29" w14:textId="227605E0" w:rsidR="001B10D8" w:rsidRPr="001B2381" w:rsidRDefault="001B10D8" w:rsidP="00462EF0">
      <w:pPr>
        <w:rPr>
          <w:b/>
          <w:bCs/>
          <w:sz w:val="20"/>
          <w:szCs w:val="20"/>
        </w:rPr>
      </w:pPr>
    </w:p>
    <w:p w14:paraId="24CC1BC6" w14:textId="792C29EA" w:rsidR="001B10D8" w:rsidRDefault="001B10D8" w:rsidP="001B10D8">
      <w:pPr>
        <w:rPr>
          <w:sz w:val="20"/>
          <w:szCs w:val="20"/>
        </w:rPr>
      </w:pPr>
      <w:r w:rsidRPr="001B2381">
        <w:rPr>
          <w:sz w:val="20"/>
          <w:szCs w:val="20"/>
        </w:rPr>
        <w:t>--</w:t>
      </w:r>
    </w:p>
    <w:p w14:paraId="2E50EEB8" w14:textId="77777777" w:rsidR="001B2381" w:rsidRPr="001B2381" w:rsidRDefault="001B2381" w:rsidP="001B10D8">
      <w:pPr>
        <w:rPr>
          <w:sz w:val="20"/>
          <w:szCs w:val="20"/>
        </w:rPr>
      </w:pPr>
    </w:p>
    <w:p w14:paraId="089A780D" w14:textId="0BCCBD7B" w:rsidR="001B10D8" w:rsidRPr="001B2381" w:rsidRDefault="001B10D8" w:rsidP="001B10D8">
      <w:pPr>
        <w:rPr>
          <w:b/>
          <w:bCs/>
          <w:sz w:val="20"/>
          <w:szCs w:val="20"/>
        </w:rPr>
      </w:pPr>
      <w:r w:rsidRPr="001B2381">
        <w:rPr>
          <w:b/>
          <w:bCs/>
          <w:sz w:val="20"/>
          <w:szCs w:val="20"/>
        </w:rPr>
        <w:t xml:space="preserve">The Operator Data Index: </w:t>
      </w:r>
    </w:p>
    <w:p w14:paraId="666B2BF4" w14:textId="3D4FBF9C" w:rsidR="001B10D8" w:rsidRPr="001B2381" w:rsidRDefault="001B10D8" w:rsidP="001B10D8">
      <w:pPr>
        <w:rPr>
          <w:sz w:val="20"/>
          <w:szCs w:val="20"/>
        </w:rPr>
      </w:pPr>
      <w:r w:rsidRPr="001B2381">
        <w:rPr>
          <w:sz w:val="20"/>
          <w:szCs w:val="20"/>
        </w:rPr>
        <w:t xml:space="preserve">Lumina Intelligence’s Operator Data Index </w:t>
      </w:r>
      <w:hyperlink r:id="rId8" w:history="1">
        <w:r w:rsidRPr="00080EF1">
          <w:rPr>
            <w:rStyle w:val="Hyperlink"/>
            <w:b/>
            <w:bCs/>
            <w:sz w:val="20"/>
            <w:szCs w:val="20"/>
          </w:rPr>
          <w:t>Operator Data Index</w:t>
        </w:r>
      </w:hyperlink>
      <w:r w:rsidRPr="001B2381">
        <w:rPr>
          <w:b/>
          <w:bCs/>
          <w:sz w:val="20"/>
          <w:szCs w:val="20"/>
        </w:rPr>
        <w:t xml:space="preserve"> </w:t>
      </w:r>
      <w:r w:rsidRPr="001B2381">
        <w:rPr>
          <w:sz w:val="20"/>
          <w:szCs w:val="20"/>
        </w:rPr>
        <w:t>provides</w:t>
      </w:r>
      <w:r w:rsidRPr="001B2381">
        <w:rPr>
          <w:b/>
          <w:bCs/>
          <w:sz w:val="20"/>
          <w:szCs w:val="20"/>
        </w:rPr>
        <w:t xml:space="preserve"> </w:t>
      </w:r>
      <w:r w:rsidRPr="001B2381">
        <w:rPr>
          <w:sz w:val="20"/>
          <w:szCs w:val="20"/>
        </w:rPr>
        <w:t>c</w:t>
      </w:r>
      <w:r w:rsidRPr="001B10D8">
        <w:rPr>
          <w:sz w:val="20"/>
          <w:szCs w:val="20"/>
        </w:rPr>
        <w:t>ontinuous turnover and outlet data on </w:t>
      </w:r>
      <w:r w:rsidRPr="001B10D8">
        <w:rPr>
          <w:b/>
          <w:bCs/>
          <w:sz w:val="20"/>
          <w:szCs w:val="20"/>
        </w:rPr>
        <w:t>400+ UK pub, restaurant, QSR, sandwich and coffee shop operators</w:t>
      </w:r>
      <w:r w:rsidRPr="001B2381">
        <w:rPr>
          <w:sz w:val="20"/>
          <w:szCs w:val="20"/>
        </w:rPr>
        <w:t>, a</w:t>
      </w:r>
      <w:r w:rsidRPr="001B10D8">
        <w:rPr>
          <w:sz w:val="20"/>
          <w:szCs w:val="20"/>
        </w:rPr>
        <w:t>nalys</w:t>
      </w:r>
      <w:r w:rsidRPr="001B2381">
        <w:rPr>
          <w:sz w:val="20"/>
          <w:szCs w:val="20"/>
        </w:rPr>
        <w:t>ing</w:t>
      </w:r>
      <w:r w:rsidRPr="001B10D8">
        <w:rPr>
          <w:sz w:val="20"/>
          <w:szCs w:val="20"/>
        </w:rPr>
        <w:t xml:space="preserve"> the leading and fastest growing brands through an interactive dashboard, </w:t>
      </w:r>
      <w:r w:rsidRPr="001B2381">
        <w:rPr>
          <w:sz w:val="20"/>
          <w:szCs w:val="20"/>
        </w:rPr>
        <w:t>bringing subscribers</w:t>
      </w:r>
      <w:r w:rsidRPr="001B10D8">
        <w:rPr>
          <w:sz w:val="20"/>
          <w:szCs w:val="20"/>
        </w:rPr>
        <w:t xml:space="preserve"> quarterly market intelligence reports.</w:t>
      </w:r>
    </w:p>
    <w:p w14:paraId="02EE531D" w14:textId="0BF730FE" w:rsidR="001B10D8" w:rsidRPr="001B2381" w:rsidRDefault="001B10D8" w:rsidP="001B10D8">
      <w:pPr>
        <w:rPr>
          <w:sz w:val="20"/>
          <w:szCs w:val="20"/>
        </w:rPr>
      </w:pPr>
    </w:p>
    <w:p w14:paraId="485A5CFD"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Report methodology</w:t>
      </w:r>
    </w:p>
    <w:p w14:paraId="4DAE2961"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2D76556A" w14:textId="77777777" w:rsidR="001B2381" w:rsidRPr="001B2381" w:rsidRDefault="001B2381" w:rsidP="001B2381">
      <w:pPr>
        <w:rPr>
          <w:rFonts w:ascii="Arial" w:hAnsi="Arial" w:cs="Arial"/>
          <w:sz w:val="20"/>
          <w:szCs w:val="20"/>
        </w:rPr>
      </w:pPr>
      <w:r w:rsidRPr="001B2381">
        <w:rPr>
          <w:rFonts w:ascii="Arial" w:hAnsi="Arial" w:cs="Arial"/>
          <w:sz w:val="20"/>
          <w:szCs w:val="20"/>
        </w:rPr>
        <w:t>Our Operator Data Index includes:</w:t>
      </w:r>
    </w:p>
    <w:p w14:paraId="2FB7A1EB"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lastRenderedPageBreak/>
        <w:t>Comprehensive data on leading UK hospitality operators</w:t>
      </w:r>
    </w:p>
    <w:p w14:paraId="32CB891E"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Access market rankings, sales and outlet counts and monthly analysis presentations.</w:t>
      </w:r>
    </w:p>
    <w:p w14:paraId="45580815" w14:textId="77777777" w:rsidR="001B2381" w:rsidRPr="001B2381" w:rsidRDefault="001B2381" w:rsidP="001B2381">
      <w:pPr>
        <w:rPr>
          <w:rFonts w:ascii="Arial" w:hAnsi="Arial" w:cs="Arial"/>
          <w:b/>
          <w:bCs/>
          <w:sz w:val="20"/>
          <w:szCs w:val="20"/>
        </w:rPr>
      </w:pPr>
    </w:p>
    <w:p w14:paraId="5D3AF2B5"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About Lumina Intelligence</w:t>
      </w:r>
    </w:p>
    <w:p w14:paraId="397DE4DE"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B2381">
        <w:rPr>
          <w:rFonts w:ascii="Arial" w:hAnsi="Arial" w:cs="Arial"/>
          <w:sz w:val="20"/>
          <w:szCs w:val="20"/>
        </w:rPr>
        <w:t>marketing</w:t>
      </w:r>
      <w:proofErr w:type="gramEnd"/>
      <w:r w:rsidRPr="001B2381">
        <w:rPr>
          <w:rFonts w:ascii="Arial" w:hAnsi="Arial" w:cs="Arial"/>
          <w:sz w:val="20"/>
          <w:szCs w:val="20"/>
        </w:rPr>
        <w:t xml:space="preserve"> and new product development. </w:t>
      </w:r>
    </w:p>
    <w:p w14:paraId="3DCAC104" w14:textId="77777777" w:rsidR="001B2381" w:rsidRPr="001B2381" w:rsidRDefault="00884BCF" w:rsidP="001B2381">
      <w:pPr>
        <w:rPr>
          <w:rFonts w:ascii="Arial" w:hAnsi="Arial" w:cs="Arial"/>
          <w:sz w:val="20"/>
          <w:szCs w:val="20"/>
        </w:rPr>
      </w:pPr>
      <w:hyperlink r:id="rId9" w:history="1">
        <w:r w:rsidR="001B2381" w:rsidRPr="001B2381">
          <w:rPr>
            <w:rStyle w:val="Hyperlink"/>
            <w:rFonts w:ascii="Arial" w:hAnsi="Arial" w:cs="Arial"/>
            <w:sz w:val="20"/>
            <w:szCs w:val="20"/>
          </w:rPr>
          <w:t>https://www.lumina-intelligence.com/</w:t>
        </w:r>
      </w:hyperlink>
    </w:p>
    <w:p w14:paraId="1B592D21" w14:textId="77777777" w:rsidR="001B10D8" w:rsidRPr="001B2381" w:rsidRDefault="001B10D8" w:rsidP="001B10D8">
      <w:pPr>
        <w:rPr>
          <w:sz w:val="20"/>
          <w:szCs w:val="20"/>
        </w:rPr>
      </w:pPr>
    </w:p>
    <w:p w14:paraId="4C2DE03B" w14:textId="17001446" w:rsidR="001B10D8" w:rsidRPr="001B2381" w:rsidRDefault="001B10D8" w:rsidP="001B10D8">
      <w:pPr>
        <w:rPr>
          <w:sz w:val="20"/>
          <w:szCs w:val="20"/>
        </w:rPr>
      </w:pPr>
    </w:p>
    <w:p w14:paraId="791676ED" w14:textId="77777777" w:rsidR="001B10D8" w:rsidRPr="001B2381" w:rsidRDefault="001B10D8" w:rsidP="001B10D8">
      <w:pPr>
        <w:rPr>
          <w:sz w:val="20"/>
          <w:szCs w:val="20"/>
        </w:rPr>
      </w:pPr>
    </w:p>
    <w:p w14:paraId="1ACFF48D" w14:textId="2F290E8F" w:rsidR="001B10D8" w:rsidRPr="001B2381" w:rsidRDefault="001B10D8" w:rsidP="001B10D8">
      <w:pPr>
        <w:rPr>
          <w:sz w:val="20"/>
          <w:szCs w:val="20"/>
        </w:rPr>
      </w:pPr>
    </w:p>
    <w:p w14:paraId="762DC335" w14:textId="54A6C53C" w:rsidR="001B10D8" w:rsidRPr="001B2381" w:rsidRDefault="001B10D8" w:rsidP="001B10D8">
      <w:pPr>
        <w:rPr>
          <w:sz w:val="20"/>
          <w:szCs w:val="20"/>
        </w:rPr>
      </w:pPr>
    </w:p>
    <w:p w14:paraId="1CE967BD" w14:textId="77777777" w:rsidR="001B10D8" w:rsidRPr="001B10D8" w:rsidRDefault="001B10D8" w:rsidP="001B10D8">
      <w:pPr>
        <w:rPr>
          <w:b/>
          <w:bCs/>
          <w:sz w:val="20"/>
          <w:szCs w:val="20"/>
        </w:rPr>
      </w:pPr>
    </w:p>
    <w:p w14:paraId="09F8773A" w14:textId="388218C4" w:rsidR="001B10D8" w:rsidRPr="001B2381" w:rsidRDefault="001B10D8" w:rsidP="001B10D8">
      <w:pPr>
        <w:rPr>
          <w:sz w:val="20"/>
          <w:szCs w:val="20"/>
        </w:rPr>
      </w:pPr>
    </w:p>
    <w:p w14:paraId="7799E6F9" w14:textId="77777777" w:rsidR="001B10D8" w:rsidRPr="001B2381" w:rsidRDefault="001B10D8" w:rsidP="001B10D8">
      <w:pPr>
        <w:rPr>
          <w:sz w:val="20"/>
          <w:szCs w:val="20"/>
        </w:rPr>
      </w:pPr>
    </w:p>
    <w:p w14:paraId="3AFE2DA3" w14:textId="602CAAF7" w:rsidR="00D020E8" w:rsidRPr="00D020E8" w:rsidRDefault="00D020E8" w:rsidP="00D020E8">
      <w:pPr>
        <w:rPr>
          <w:sz w:val="20"/>
          <w:szCs w:val="20"/>
        </w:rPr>
      </w:pPr>
    </w:p>
    <w:p w14:paraId="6B2466F9" w14:textId="19910ED2" w:rsidR="00D020E8" w:rsidRPr="00D020E8" w:rsidRDefault="00D020E8" w:rsidP="00D020E8">
      <w:pPr>
        <w:rPr>
          <w:sz w:val="20"/>
          <w:szCs w:val="20"/>
        </w:rPr>
      </w:pPr>
    </w:p>
    <w:p w14:paraId="11B8EAEC" w14:textId="6E8F4DF3" w:rsidR="00D020E8" w:rsidRPr="001B2381" w:rsidRDefault="00D020E8" w:rsidP="00D020E8">
      <w:pPr>
        <w:rPr>
          <w:sz w:val="20"/>
          <w:szCs w:val="20"/>
        </w:rPr>
      </w:pPr>
    </w:p>
    <w:p w14:paraId="08169302" w14:textId="2171DB6B" w:rsidR="00D020E8" w:rsidRPr="001B2381" w:rsidRDefault="00D020E8" w:rsidP="00D020E8">
      <w:pPr>
        <w:rPr>
          <w:sz w:val="20"/>
          <w:szCs w:val="20"/>
        </w:rPr>
      </w:pPr>
    </w:p>
    <w:p w14:paraId="27FB4C19" w14:textId="77777777" w:rsidR="00D020E8" w:rsidRPr="001B2381" w:rsidRDefault="00D020E8" w:rsidP="00D020E8">
      <w:pPr>
        <w:rPr>
          <w:sz w:val="20"/>
          <w:szCs w:val="20"/>
        </w:rPr>
      </w:pPr>
    </w:p>
    <w:p w14:paraId="0E19870C" w14:textId="77777777" w:rsidR="00D020E8" w:rsidRPr="00D020E8" w:rsidRDefault="00D020E8" w:rsidP="00D020E8">
      <w:pPr>
        <w:rPr>
          <w:sz w:val="20"/>
          <w:szCs w:val="20"/>
        </w:rPr>
      </w:pPr>
    </w:p>
    <w:p w14:paraId="5AB2AB77" w14:textId="465A5703" w:rsidR="00D020E8" w:rsidRPr="001B2381" w:rsidRDefault="00D020E8" w:rsidP="00D020E8">
      <w:pPr>
        <w:rPr>
          <w:sz w:val="20"/>
          <w:szCs w:val="20"/>
        </w:rPr>
      </w:pPr>
    </w:p>
    <w:p w14:paraId="1850EED0" w14:textId="77777777" w:rsidR="00D020E8" w:rsidRPr="00D020E8" w:rsidRDefault="00D020E8" w:rsidP="00D020E8">
      <w:pPr>
        <w:rPr>
          <w:sz w:val="20"/>
          <w:szCs w:val="20"/>
        </w:rPr>
      </w:pPr>
    </w:p>
    <w:p w14:paraId="7AE44BAB" w14:textId="1368D364" w:rsidR="00D020E8" w:rsidRPr="001B2381" w:rsidRDefault="00D020E8">
      <w:pPr>
        <w:rPr>
          <w:sz w:val="20"/>
          <w:szCs w:val="20"/>
        </w:rPr>
      </w:pPr>
    </w:p>
    <w:sectPr w:rsidR="00D020E8" w:rsidRPr="001B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AD5"/>
    <w:multiLevelType w:val="hybridMultilevel"/>
    <w:tmpl w:val="C0946170"/>
    <w:lvl w:ilvl="0" w:tplc="3F32E042">
      <w:start w:val="3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6498"/>
    <w:multiLevelType w:val="hybridMultilevel"/>
    <w:tmpl w:val="36B405AC"/>
    <w:lvl w:ilvl="0" w:tplc="FCDABEA4">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1744">
    <w:abstractNumId w:val="1"/>
  </w:num>
  <w:num w:numId="2" w16cid:durableId="237133662">
    <w:abstractNumId w:val="2"/>
  </w:num>
  <w:num w:numId="3" w16cid:durableId="15535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8"/>
    <w:rsid w:val="00057592"/>
    <w:rsid w:val="00080EF1"/>
    <w:rsid w:val="000E1605"/>
    <w:rsid w:val="001B10D8"/>
    <w:rsid w:val="001B2381"/>
    <w:rsid w:val="00462EF0"/>
    <w:rsid w:val="006A34C3"/>
    <w:rsid w:val="00884BCF"/>
    <w:rsid w:val="008E3157"/>
    <w:rsid w:val="00BA2F38"/>
    <w:rsid w:val="00D020E8"/>
    <w:rsid w:val="00E465FF"/>
    <w:rsid w:val="00F8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C88"/>
  <w15:chartTrackingRefBased/>
  <w15:docId w15:val="{07C68B22-C442-4D9D-93BF-C2A2CEF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1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0D8"/>
    <w:pPr>
      <w:ind w:left="720"/>
      <w:contextualSpacing/>
    </w:pPr>
  </w:style>
  <w:style w:type="character" w:styleId="Hyperlink">
    <w:name w:val="Hyperlink"/>
    <w:basedOn w:val="DefaultParagraphFont"/>
    <w:uiPriority w:val="99"/>
    <w:unhideWhenUsed/>
    <w:rsid w:val="001B10D8"/>
    <w:rPr>
      <w:color w:val="0563C1" w:themeColor="hyperlink"/>
      <w:u w:val="single"/>
    </w:rPr>
  </w:style>
  <w:style w:type="character" w:styleId="UnresolvedMention">
    <w:name w:val="Unresolved Mention"/>
    <w:basedOn w:val="DefaultParagraphFont"/>
    <w:uiPriority w:val="99"/>
    <w:semiHidden/>
    <w:unhideWhenUsed/>
    <w:rsid w:val="001B10D8"/>
    <w:rPr>
      <w:color w:val="605E5C"/>
      <w:shd w:val="clear" w:color="auto" w:fill="E1DFDD"/>
    </w:rPr>
  </w:style>
  <w:style w:type="character" w:customStyle="1" w:styleId="Heading2Char">
    <w:name w:val="Heading 2 Char"/>
    <w:basedOn w:val="DefaultParagraphFont"/>
    <w:link w:val="Heading2"/>
    <w:uiPriority w:val="9"/>
    <w:semiHidden/>
    <w:rsid w:val="001B10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979">
      <w:bodyDiv w:val="1"/>
      <w:marLeft w:val="0"/>
      <w:marRight w:val="0"/>
      <w:marTop w:val="0"/>
      <w:marBottom w:val="0"/>
      <w:divBdr>
        <w:top w:val="none" w:sz="0" w:space="0" w:color="auto"/>
        <w:left w:val="none" w:sz="0" w:space="0" w:color="auto"/>
        <w:bottom w:val="none" w:sz="0" w:space="0" w:color="auto"/>
        <w:right w:val="none" w:sz="0" w:space="0" w:color="auto"/>
      </w:divBdr>
      <w:divsChild>
        <w:div w:id="1370035695">
          <w:marLeft w:val="0"/>
          <w:marRight w:val="0"/>
          <w:marTop w:val="0"/>
          <w:marBottom w:val="264"/>
          <w:divBdr>
            <w:top w:val="none" w:sz="0" w:space="0" w:color="auto"/>
            <w:left w:val="none" w:sz="0" w:space="0" w:color="auto"/>
            <w:bottom w:val="none" w:sz="0" w:space="0" w:color="auto"/>
            <w:right w:val="none" w:sz="0" w:space="0" w:color="auto"/>
          </w:divBdr>
          <w:divsChild>
            <w:div w:id="1247108892">
              <w:marLeft w:val="0"/>
              <w:marRight w:val="0"/>
              <w:marTop w:val="0"/>
              <w:marBottom w:val="0"/>
              <w:divBdr>
                <w:top w:val="none" w:sz="0" w:space="0" w:color="auto"/>
                <w:left w:val="none" w:sz="0" w:space="0" w:color="auto"/>
                <w:bottom w:val="none" w:sz="0" w:space="0" w:color="auto"/>
                <w:right w:val="none" w:sz="0" w:space="0" w:color="auto"/>
              </w:divBdr>
            </w:div>
          </w:divsChild>
        </w:div>
        <w:div w:id="1162358751">
          <w:marLeft w:val="0"/>
          <w:marRight w:val="0"/>
          <w:marTop w:val="0"/>
          <w:marBottom w:val="264"/>
          <w:divBdr>
            <w:top w:val="none" w:sz="0" w:space="0" w:color="auto"/>
            <w:left w:val="none" w:sz="0" w:space="0" w:color="auto"/>
            <w:bottom w:val="none" w:sz="0" w:space="0" w:color="auto"/>
            <w:right w:val="none" w:sz="0" w:space="0" w:color="auto"/>
          </w:divBdr>
          <w:divsChild>
            <w:div w:id="2003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119">
      <w:bodyDiv w:val="1"/>
      <w:marLeft w:val="0"/>
      <w:marRight w:val="0"/>
      <w:marTop w:val="0"/>
      <w:marBottom w:val="0"/>
      <w:divBdr>
        <w:top w:val="none" w:sz="0" w:space="0" w:color="auto"/>
        <w:left w:val="none" w:sz="0" w:space="0" w:color="auto"/>
        <w:bottom w:val="none" w:sz="0" w:space="0" w:color="auto"/>
        <w:right w:val="none" w:sz="0" w:space="0" w:color="auto"/>
      </w:divBdr>
      <w:divsChild>
        <w:div w:id="297222865">
          <w:marLeft w:val="0"/>
          <w:marRight w:val="0"/>
          <w:marTop w:val="0"/>
          <w:marBottom w:val="264"/>
          <w:divBdr>
            <w:top w:val="none" w:sz="0" w:space="0" w:color="auto"/>
            <w:left w:val="none" w:sz="0" w:space="0" w:color="auto"/>
            <w:bottom w:val="none" w:sz="0" w:space="0" w:color="auto"/>
            <w:right w:val="none" w:sz="0" w:space="0" w:color="auto"/>
          </w:divBdr>
          <w:divsChild>
            <w:div w:id="158234569">
              <w:marLeft w:val="0"/>
              <w:marRight w:val="0"/>
              <w:marTop w:val="0"/>
              <w:marBottom w:val="0"/>
              <w:divBdr>
                <w:top w:val="none" w:sz="0" w:space="0" w:color="auto"/>
                <w:left w:val="none" w:sz="0" w:space="0" w:color="auto"/>
                <w:bottom w:val="none" w:sz="0" w:space="0" w:color="auto"/>
                <w:right w:val="none" w:sz="0" w:space="0" w:color="auto"/>
              </w:divBdr>
            </w:div>
          </w:divsChild>
        </w:div>
        <w:div w:id="1141773195">
          <w:marLeft w:val="0"/>
          <w:marRight w:val="0"/>
          <w:marTop w:val="0"/>
          <w:marBottom w:val="264"/>
          <w:divBdr>
            <w:top w:val="none" w:sz="0" w:space="0" w:color="auto"/>
            <w:left w:val="none" w:sz="0" w:space="0" w:color="auto"/>
            <w:bottom w:val="none" w:sz="0" w:space="0" w:color="auto"/>
            <w:right w:val="none" w:sz="0" w:space="0" w:color="auto"/>
          </w:divBdr>
          <w:divsChild>
            <w:div w:id="1886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intelligence.com/product/operator-data-index/" TargetMode="External"/><Relationship Id="rId3" Type="http://schemas.openxmlformats.org/officeDocument/2006/relationships/settings" Target="settings.xml"/><Relationship Id="rId7" Type="http://schemas.openxmlformats.org/officeDocument/2006/relationships/hyperlink" Target="https://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2024-01-24T15:39:00Z</dcterms:created>
  <dcterms:modified xsi:type="dcterms:W3CDTF">2024-01-31T15:50:00Z</dcterms:modified>
</cp:coreProperties>
</file>