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F01CAF"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3F254153" w:rsidR="00E86F6E" w:rsidRDefault="0074661D"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28</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 xml:space="preserve">February </w:t>
      </w:r>
      <w:r w:rsidR="00E86F6E" w:rsidRPr="008B64C2">
        <w:rPr>
          <w:rFonts w:asciiTheme="majorHAnsi" w:hAnsiTheme="majorHAnsi" w:cstheme="majorHAnsi"/>
          <w:b/>
          <w:bCs/>
          <w:sz w:val="20"/>
          <w:szCs w:val="20"/>
          <w:u w:val="single"/>
        </w:rPr>
        <w:t>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7C7A6B58" w14:textId="029F3AFD" w:rsidR="0074661D" w:rsidRPr="0074661D" w:rsidRDefault="0074661D" w:rsidP="0074661D">
      <w:pPr>
        <w:rPr>
          <w:b/>
          <w:bCs/>
          <w:sz w:val="28"/>
          <w:szCs w:val="28"/>
        </w:rPr>
      </w:pPr>
      <w:r w:rsidRPr="0074661D">
        <w:rPr>
          <w:b/>
          <w:bCs/>
          <w:sz w:val="28"/>
          <w:szCs w:val="28"/>
        </w:rPr>
        <w:t>Revitali</w:t>
      </w:r>
      <w:r>
        <w:rPr>
          <w:b/>
          <w:bCs/>
          <w:sz w:val="28"/>
          <w:szCs w:val="28"/>
        </w:rPr>
        <w:t>s</w:t>
      </w:r>
      <w:r w:rsidRPr="0074661D">
        <w:rPr>
          <w:b/>
          <w:bCs/>
          <w:sz w:val="28"/>
          <w:szCs w:val="28"/>
        </w:rPr>
        <w:t xml:space="preserve">ed Dining: Lumina Intelligence's </w:t>
      </w:r>
      <w:r w:rsidR="00365587">
        <w:rPr>
          <w:b/>
          <w:bCs/>
          <w:sz w:val="28"/>
          <w:szCs w:val="28"/>
        </w:rPr>
        <w:t>Research</w:t>
      </w:r>
      <w:r w:rsidRPr="0074661D">
        <w:rPr>
          <w:b/>
          <w:bCs/>
          <w:sz w:val="28"/>
          <w:szCs w:val="28"/>
        </w:rPr>
        <w:t xml:space="preserve"> Signals Market Rebound</w:t>
      </w:r>
    </w:p>
    <w:p w14:paraId="471EF063" w14:textId="77777777" w:rsidR="0074661D" w:rsidRDefault="0074661D" w:rsidP="0074661D"/>
    <w:p w14:paraId="576C4AA1" w14:textId="4FD30B5A" w:rsidR="0074661D" w:rsidRPr="0074661D" w:rsidRDefault="0074661D" w:rsidP="0074661D">
      <w:r w:rsidRPr="0074661D">
        <w:t xml:space="preserve">The latest data from </w:t>
      </w:r>
      <w:hyperlink r:id="rId9" w:history="1">
        <w:r w:rsidRPr="0074661D">
          <w:rPr>
            <w:rStyle w:val="Hyperlink"/>
          </w:rPr>
          <w:t>Lumina Intelligence's Eating and Drinking Out panel</w:t>
        </w:r>
      </w:hyperlink>
      <w:r w:rsidRPr="0074661D">
        <w:t xml:space="preserve"> reveals a robust performance in the eating out market during the fourth quarter of 2023. Bolstered by improved consumer confidence, participation in dining out experiences surged, marking a significant uptick compared to the challenges faced in the preceding year.</w:t>
      </w:r>
    </w:p>
    <w:p w14:paraId="7077E3E4" w14:textId="6F6DC167" w:rsidR="0074661D" w:rsidRPr="0074661D" w:rsidRDefault="0074661D" w:rsidP="0074661D">
      <w:r w:rsidRPr="0074661D">
        <w:t>Key findings</w:t>
      </w:r>
      <w:r w:rsidR="00F01CAF">
        <w:t xml:space="preserve"> </w:t>
      </w:r>
      <w:r w:rsidRPr="0074661D">
        <w:t>indicate a notable increase in market penetration, with a year-on-year gain of +4 percentage points, reaching 56.5%. This resurgence comes in stark contrast to the previous period, which was marred by railway strikes, record-low consumer confidence, and economic uncertainty during the cost-of-living crisis.</w:t>
      </w:r>
    </w:p>
    <w:p w14:paraId="426EA720" w14:textId="74F1E67B" w:rsidR="0074661D" w:rsidRPr="0074661D" w:rsidRDefault="0074661D" w:rsidP="0074661D">
      <w:r w:rsidRPr="0074661D">
        <w:t xml:space="preserve">The reduction in strike actions </w:t>
      </w:r>
      <w:r w:rsidR="003B506C">
        <w:t xml:space="preserve">was pivotal </w:t>
      </w:r>
      <w:r w:rsidRPr="0074661D">
        <w:t>in encouraging evening sociali</w:t>
      </w:r>
      <w:r>
        <w:t>s</w:t>
      </w:r>
      <w:r w:rsidRPr="0074661D">
        <w:t>ing, resulting in a notable rise in dinner occasions across Quick Service Restaurants (QSR), retail, and restaurant channels. With minimal transport disruption in Q4 2023, consumers sei</w:t>
      </w:r>
      <w:r>
        <w:t>z</w:t>
      </w:r>
      <w:r w:rsidRPr="0074661D">
        <w:t>ed the opportunity for more evening sociali</w:t>
      </w:r>
      <w:r>
        <w:t>s</w:t>
      </w:r>
      <w:r w:rsidRPr="0074661D">
        <w:t>ing, albeit at the expense of breakfast, brunch, and drink-only occasions.</w:t>
      </w:r>
    </w:p>
    <w:p w14:paraId="2A0E55DC" w14:textId="18AFD554" w:rsidR="0074661D" w:rsidRPr="0074661D" w:rsidRDefault="0074661D" w:rsidP="0074661D">
      <w:r w:rsidRPr="0074661D">
        <w:t>Moreover, the data underscores a return to habitual dinner missions among consumers, particularly driving growth in the QSR segment. Routine-led missions are regaining significance at dinner time, as consumers increasingly prioriti</w:t>
      </w:r>
      <w:r>
        <w:t>s</w:t>
      </w:r>
      <w:r w:rsidRPr="0074661D">
        <w:t>e affordable quality meals on the go.</w:t>
      </w:r>
    </w:p>
    <w:p w14:paraId="0300AD98" w14:textId="77777777" w:rsidR="0074661D" w:rsidRPr="0074661D" w:rsidRDefault="0074661D" w:rsidP="0074661D">
      <w:r w:rsidRPr="0074661D">
        <w:t>One standout trend highlighted in the report is the surge in pizza occasions, witnessed during both lunch and dinner hours. This growth is attributed to Domino's significant share increase within the market, demonstrating consumers' growing preference for convenient and quality pizza options.</w:t>
      </w:r>
    </w:p>
    <w:p w14:paraId="4C105D6F" w14:textId="4D1D6EB2" w:rsidR="0074661D" w:rsidRPr="0074661D" w:rsidRDefault="0074661D" w:rsidP="0074661D">
      <w:r w:rsidRPr="0074661D">
        <w:t xml:space="preserve">Commenting on the findings, </w:t>
      </w:r>
      <w:r>
        <w:t>Insights Manager Maria Georgiou</w:t>
      </w:r>
      <w:r w:rsidRPr="0074661D">
        <w:t xml:space="preserve"> said, "The Q4 2023 insights from Lumina Intelligence's Eating and Drinking Out panel showcase a remarkable recovery in the eating out market. Improved consumer confidence has been a driving force behind this resurgence, leading to increased participation and a return to routine-led dining missions."</w:t>
      </w:r>
    </w:p>
    <w:p w14:paraId="2ADD5487" w14:textId="3642D3A6" w:rsidR="0074661D" w:rsidRPr="0074661D" w:rsidRDefault="0074661D" w:rsidP="0074661D">
      <w:r w:rsidRPr="0074661D">
        <w:t>"As we move forward, understanding these evolving consumer behaviours and preferences will be critical for businesses to capitali</w:t>
      </w:r>
      <w:r>
        <w:t>s</w:t>
      </w:r>
      <w:r w:rsidRPr="0074661D">
        <w:t>e on emerging opportunities and drive continued growth in the sect</w:t>
      </w:r>
      <w:r w:rsidR="003B506C">
        <w:t>or.”</w:t>
      </w:r>
    </w:p>
    <w:p w14:paraId="0574D83E" w14:textId="77777777" w:rsidR="001A4CBF" w:rsidRPr="001A4CBF" w:rsidRDefault="001A4CBF" w:rsidP="00BE3B0B"/>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F01CAF"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w:t>
      </w:r>
      <w:r w:rsidR="007809E2" w:rsidRPr="007809E2">
        <w:lastRenderedPageBreak/>
        <w:t xml:space="preserve">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F01CAF"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F01CAF"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65587"/>
    <w:rsid w:val="003B506C"/>
    <w:rsid w:val="003B5C03"/>
    <w:rsid w:val="004332B9"/>
    <w:rsid w:val="004C05A9"/>
    <w:rsid w:val="0050110C"/>
    <w:rsid w:val="00520DDC"/>
    <w:rsid w:val="005503B0"/>
    <w:rsid w:val="00584D75"/>
    <w:rsid w:val="005F3169"/>
    <w:rsid w:val="006302EF"/>
    <w:rsid w:val="00645C76"/>
    <w:rsid w:val="00662DAD"/>
    <w:rsid w:val="0069146D"/>
    <w:rsid w:val="006B68D3"/>
    <w:rsid w:val="006D2B2B"/>
    <w:rsid w:val="007033DF"/>
    <w:rsid w:val="007462A8"/>
    <w:rsid w:val="0074661D"/>
    <w:rsid w:val="007809E2"/>
    <w:rsid w:val="007C11AE"/>
    <w:rsid w:val="007C29CE"/>
    <w:rsid w:val="00844A02"/>
    <w:rsid w:val="00873A6C"/>
    <w:rsid w:val="00896C04"/>
    <w:rsid w:val="008C2102"/>
    <w:rsid w:val="00942B78"/>
    <w:rsid w:val="009724BC"/>
    <w:rsid w:val="0098585D"/>
    <w:rsid w:val="00A0427B"/>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01CAF"/>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4984">
      <w:bodyDiv w:val="1"/>
      <w:marLeft w:val="0"/>
      <w:marRight w:val="0"/>
      <w:marTop w:val="0"/>
      <w:marBottom w:val="0"/>
      <w:divBdr>
        <w:top w:val="none" w:sz="0" w:space="0" w:color="auto"/>
        <w:left w:val="none" w:sz="0" w:space="0" w:color="auto"/>
        <w:bottom w:val="none" w:sz="0" w:space="0" w:color="auto"/>
        <w:right w:val="none" w:sz="0" w:space="0" w:color="auto"/>
      </w:divBdr>
    </w:div>
    <w:div w:id="1167477996">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2024-03-07T10:28:00Z</dcterms:created>
  <dcterms:modified xsi:type="dcterms:W3CDTF">2024-03-08T09:39:00Z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y fmtid="{D5CDD505-2E9C-101B-9397-08002B2CF9AE}" pid="3" name="GrammarlyDocumentId">
    <vt:lpwstr>49f8a586fd41cf25ed1c3b96150b4b7bae0e6eb47aedbb9d202555ec0ca44681</vt:lpwstr>
  </property>
</Properties>
</file>