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8">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221ECFFC" w:rsidR="00E86F6E" w:rsidRPr="008B64C2" w:rsidRDefault="001A4CBF"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5494899A" w:rsidR="00E86F6E" w:rsidRPr="008B64C2" w:rsidRDefault="001A4CBF" w:rsidP="00E86F6E">
      <w:pPr>
        <w:spacing w:after="0" w:line="240" w:lineRule="auto"/>
        <w:rPr>
          <w:rStyle w:val="Hyperlink"/>
          <w:rFonts w:cstheme="majorHAnsi"/>
          <w:color w:val="505050"/>
          <w:sz w:val="20"/>
          <w:szCs w:val="20"/>
        </w:rPr>
      </w:pPr>
      <w:hyperlink r:id="rId9" w:history="1">
        <w:r w:rsidRPr="00397CFC">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72CF96AA" w14:textId="77777777" w:rsidR="001A4CBF" w:rsidRDefault="001A4CBF" w:rsidP="00E86F6E">
      <w:pPr>
        <w:spacing w:after="0" w:line="240" w:lineRule="auto"/>
        <w:rPr>
          <w:rFonts w:asciiTheme="majorHAnsi" w:hAnsiTheme="majorHAnsi" w:cstheme="majorHAnsi"/>
          <w:b/>
          <w:bCs/>
          <w:sz w:val="20"/>
          <w:szCs w:val="20"/>
          <w:u w:val="single"/>
        </w:rPr>
      </w:pPr>
    </w:p>
    <w:p w14:paraId="6F193ACD" w14:textId="58F48553" w:rsidR="00E86F6E" w:rsidRDefault="001C4683"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24</w:t>
      </w:r>
      <w:r w:rsidR="004E55EE">
        <w:rPr>
          <w:rFonts w:asciiTheme="majorHAnsi" w:hAnsiTheme="majorHAnsi" w:cstheme="majorHAnsi"/>
          <w:b/>
          <w:bCs/>
          <w:sz w:val="20"/>
          <w:szCs w:val="20"/>
          <w:u w:val="single"/>
        </w:rPr>
        <w:t xml:space="preserve"> July</w:t>
      </w:r>
      <w:r w:rsidR="00512049">
        <w:rPr>
          <w:rFonts w:asciiTheme="majorHAnsi" w:hAnsiTheme="majorHAnsi" w:cstheme="majorHAnsi"/>
          <w:b/>
          <w:bCs/>
          <w:sz w:val="20"/>
          <w:szCs w:val="20"/>
          <w:u w:val="single"/>
        </w:rPr>
        <w:t xml:space="preserve"> 2025:</w:t>
      </w:r>
    </w:p>
    <w:p w14:paraId="55C1DF4D" w14:textId="09A0725B" w:rsidR="005503B0" w:rsidRDefault="005503B0" w:rsidP="00E86F6E">
      <w:pPr>
        <w:spacing w:after="0" w:line="240" w:lineRule="auto"/>
        <w:rPr>
          <w:rFonts w:asciiTheme="majorHAnsi" w:hAnsiTheme="majorHAnsi" w:cstheme="majorHAnsi"/>
          <w:b/>
          <w:bCs/>
          <w:sz w:val="20"/>
          <w:szCs w:val="20"/>
          <w:u w:val="single"/>
        </w:rPr>
      </w:pPr>
    </w:p>
    <w:p w14:paraId="6B4FB751" w14:textId="6C388959" w:rsidR="005503B0" w:rsidRDefault="005503B0" w:rsidP="00E86F6E">
      <w:pPr>
        <w:spacing w:after="0" w:line="240" w:lineRule="auto"/>
        <w:rPr>
          <w:rFonts w:asciiTheme="majorHAnsi" w:hAnsiTheme="majorHAnsi" w:cstheme="majorHAnsi"/>
          <w:b/>
          <w:bCs/>
          <w:sz w:val="20"/>
          <w:szCs w:val="20"/>
          <w:u w:val="single"/>
        </w:rPr>
      </w:pPr>
    </w:p>
    <w:p w14:paraId="2E15F0C0" w14:textId="77777777" w:rsidR="001C4683" w:rsidRPr="001C4683" w:rsidRDefault="001C4683" w:rsidP="001C4683">
      <w:pPr>
        <w:rPr>
          <w:rFonts w:asciiTheme="majorHAnsi" w:eastAsiaTheme="majorEastAsia" w:hAnsiTheme="majorHAnsi" w:cstheme="majorBidi"/>
          <w:b/>
          <w:bCs/>
          <w:sz w:val="32"/>
          <w:szCs w:val="32"/>
        </w:rPr>
      </w:pPr>
      <w:r w:rsidRPr="001C4683">
        <w:rPr>
          <w:rFonts w:asciiTheme="majorHAnsi" w:eastAsiaTheme="majorEastAsia" w:hAnsiTheme="majorHAnsi" w:cstheme="majorBidi"/>
          <w:b/>
          <w:bCs/>
          <w:sz w:val="32"/>
          <w:szCs w:val="32"/>
        </w:rPr>
        <w:t>Consumers Reprioritise Value, Quality, and Connection in Eating and Drinking Out Habits</w:t>
      </w:r>
    </w:p>
    <w:p w14:paraId="594F0F64" w14:textId="1D5AF4BF" w:rsidR="001C4683" w:rsidRPr="001C4683" w:rsidRDefault="001C4683" w:rsidP="001C4683">
      <w:pPr>
        <w:rPr>
          <w:b/>
          <w:bCs/>
        </w:rPr>
      </w:pPr>
      <w:r>
        <w:t>Latest</w:t>
      </w:r>
      <w:r w:rsidR="00AC40C1">
        <w:t xml:space="preserve"> data from</w:t>
      </w:r>
      <w:r w:rsidR="00AC40C1" w:rsidRPr="00AC40C1">
        <w:t xml:space="preserve"> </w:t>
      </w:r>
      <w:hyperlink r:id="rId10" w:history="1">
        <w:r w:rsidR="00AC40C1" w:rsidRPr="007B24B8">
          <w:rPr>
            <w:rStyle w:val="Hyperlink"/>
            <w:rFonts w:asciiTheme="majorHAnsi" w:eastAsiaTheme="majorEastAsia" w:hAnsiTheme="majorHAnsi" w:cstheme="majorBidi"/>
          </w:rPr>
          <w:t>Lumina Intelligence’s Eating and Drinking Out Panel</w:t>
        </w:r>
      </w:hyperlink>
      <w:r w:rsidR="00AC40C1" w:rsidRPr="00AC40C1">
        <w:t xml:space="preserve">, </w:t>
      </w:r>
      <w:r w:rsidRPr="001C4683">
        <w:t>highlights three core trends reshaping how and where consumers choose to dine</w:t>
      </w:r>
      <w:r>
        <w:t>:</w:t>
      </w:r>
    </w:p>
    <w:p w14:paraId="490E4F63" w14:textId="0ABE86DB" w:rsidR="001C4683" w:rsidRPr="001C4683" w:rsidRDefault="001C4683" w:rsidP="001C4683">
      <w:pPr>
        <w:rPr>
          <w:b/>
          <w:bCs/>
        </w:rPr>
      </w:pPr>
      <w:r w:rsidRPr="001C4683">
        <w:rPr>
          <w:b/>
          <w:bCs/>
        </w:rPr>
        <w:t>QSRs Lead the Market with Value-Driven Growth</w:t>
      </w:r>
    </w:p>
    <w:p w14:paraId="45085D8F" w14:textId="77777777" w:rsidR="001C4683" w:rsidRPr="001C4683" w:rsidRDefault="001C4683" w:rsidP="001C4683">
      <w:r w:rsidRPr="001C4683">
        <w:t>Quick Service Restaurants (QSRs) emerged as the standout performers this quarter, gaining +1.1 percentage points in share of occasions year-on-year. This growth reverses a previous dip and underscores consumer demand for venues offering speed, convenience, and value in economically uncertain times. The QSR surge has come largely at the expense of coffee and sandwich shops, which saw a -1.3ppt decline, indicating a shift in spend toward more affordable and efficient formats.</w:t>
      </w:r>
    </w:p>
    <w:p w14:paraId="6CFA138F" w14:textId="4A4843F8" w:rsidR="001C4683" w:rsidRPr="001C4683" w:rsidRDefault="001C4683" w:rsidP="001C4683">
      <w:pPr>
        <w:rPr>
          <w:b/>
          <w:bCs/>
        </w:rPr>
      </w:pPr>
      <w:r w:rsidRPr="001C4683">
        <w:rPr>
          <w:b/>
          <w:bCs/>
        </w:rPr>
        <w:t>Health and Brand Values Overtake Pure Price Sensitivity</w:t>
      </w:r>
    </w:p>
    <w:p w14:paraId="50CD4245" w14:textId="77777777" w:rsidR="001C4683" w:rsidRPr="001C4683" w:rsidRDefault="001C4683" w:rsidP="001C4683">
      <w:r w:rsidRPr="001C4683">
        <w:t>While value remains a key driver, consumers are now placing greater emphasis on health (+5ppts), quality (+2ppts), and brand alignment (+3ppts). This shift reflects a broader trend toward conscious consumption, where diners are choosing venues that reflect their values—whether it’s nutritional transparency, ethical sourcing, or premium experience. Operators able to combine these attributes with affordability are best positioned for growth.</w:t>
      </w:r>
    </w:p>
    <w:p w14:paraId="6D742B81" w14:textId="516454B7" w:rsidR="001C4683" w:rsidRPr="001C4683" w:rsidRDefault="001C4683" w:rsidP="001C4683">
      <w:pPr>
        <w:rPr>
          <w:b/>
          <w:bCs/>
        </w:rPr>
      </w:pPr>
      <w:r w:rsidRPr="001C4683">
        <w:rPr>
          <w:b/>
          <w:bCs/>
        </w:rPr>
        <w:t>Dining Out Becomes a Social and Emotional Experience</w:t>
      </w:r>
    </w:p>
    <w:p w14:paraId="1CB5D6EC" w14:textId="369E6FDA" w:rsidR="001C4683" w:rsidRPr="001C4683" w:rsidRDefault="001C4683" w:rsidP="001C4683">
      <w:r w:rsidRPr="001C4683">
        <w:t xml:space="preserve">Beyond practicality, consumers are increasingly eating out for connection and relaxation. Motivations such as “spending time with friends” and </w:t>
      </w:r>
      <w:r w:rsidR="00A161F1" w:rsidRPr="00A161F1">
        <w:t>“to wind down or relax”</w:t>
      </w:r>
      <w:r w:rsidR="00A161F1">
        <w:rPr>
          <w:i/>
          <w:iCs/>
        </w:rPr>
        <w:t xml:space="preserve"> </w:t>
      </w:r>
      <w:r w:rsidRPr="001C4683">
        <w:t>are gaining traction across all meal occasions. This behavioural shift highlights an opportunity for operators to reposition meals as moments of escape and togetherness—offering not just food, but atmosphere, experience, and emotional value.</w:t>
      </w:r>
    </w:p>
    <w:p w14:paraId="7C347F55" w14:textId="0702D44F" w:rsidR="00AC40C1" w:rsidRPr="004E55EE" w:rsidRDefault="00AC40C1" w:rsidP="001C4683"/>
    <w:p w14:paraId="498C30DC" w14:textId="223B377F" w:rsidR="00512049" w:rsidRPr="009740ED" w:rsidRDefault="009740ED" w:rsidP="009740ED">
      <w:pPr>
        <w:rPr>
          <w:rFonts w:asciiTheme="majorHAnsi" w:eastAsiaTheme="majorEastAsia" w:hAnsiTheme="majorHAnsi" w:cstheme="majorBidi"/>
        </w:rPr>
      </w:pPr>
      <w:r>
        <w:rPr>
          <w:rFonts w:asciiTheme="majorHAnsi" w:eastAsiaTheme="majorEastAsia" w:hAnsiTheme="majorHAnsi" w:cstheme="majorBidi"/>
        </w:rPr>
        <w:t>END</w:t>
      </w:r>
    </w:p>
    <w:p w14:paraId="1EB50D27" w14:textId="6E9873D3" w:rsidR="00224205" w:rsidRDefault="00224205" w:rsidP="00BE3B0B">
      <w:r>
        <w:t>###</w:t>
      </w:r>
    </w:p>
    <w:p w14:paraId="2E691B67" w14:textId="47C43DE8" w:rsidR="00224205" w:rsidRPr="00224205" w:rsidRDefault="00224205" w:rsidP="00BE3B0B">
      <w:pPr>
        <w:rPr>
          <w:b/>
          <w:bCs/>
        </w:rPr>
      </w:pPr>
      <w:r w:rsidRPr="00224205">
        <w:rPr>
          <w:b/>
          <w:bCs/>
        </w:rPr>
        <w:t>About Lumina Intelligence Eating &amp; Drinking Out Panel</w:t>
      </w:r>
    </w:p>
    <w:p w14:paraId="1DAF37DB" w14:textId="6500CA68" w:rsidR="007809E2" w:rsidRDefault="007809E2" w:rsidP="00BE3B0B">
      <w:hyperlink r:id="rId11" w:history="1">
        <w:r w:rsidRPr="004C05A9">
          <w:rPr>
            <w:rStyle w:val="Hyperlink"/>
          </w:rPr>
          <w:t xml:space="preserve">Lumina Intelligence Eating &amp; Drinking Out </w:t>
        </w:r>
        <w:r w:rsidR="00141CF3" w:rsidRPr="004C05A9">
          <w:rPr>
            <w:rStyle w:val="Hyperlink"/>
          </w:rPr>
          <w:t>P</w:t>
        </w:r>
        <w:r w:rsidRPr="004C05A9">
          <w:rPr>
            <w:rStyle w:val="Hyperlink"/>
          </w:rPr>
          <w:t>anel</w:t>
        </w:r>
      </w:hyperlink>
      <w:r w:rsidRPr="007809E2">
        <w:t xml:space="preserve"> is based on 78,000 surveys across the year, built up from a nationally representative weekly sample of 1,500 shoppers. Our comprehensive coverage includes over 900 operators from across all out of home channels – including restaurants, pubs </w:t>
      </w:r>
      <w:r w:rsidR="00141CF3">
        <w:t>&amp;</w:t>
      </w:r>
      <w:r w:rsidRPr="007809E2">
        <w:t xml:space="preserve"> bars, cafes </w:t>
      </w:r>
      <w:r w:rsidR="00141CF3">
        <w:t>&amp;</w:t>
      </w:r>
      <w:r w:rsidRPr="007809E2">
        <w:t xml:space="preserve"> coffee shops, fast food, baker</w:t>
      </w:r>
      <w:r w:rsidR="00141CF3">
        <w:t>y</w:t>
      </w:r>
      <w:r w:rsidRPr="007809E2">
        <w:t xml:space="preserve"> &amp; sandwich</w:t>
      </w:r>
      <w:r w:rsidR="00141CF3">
        <w:t xml:space="preserve"> shops</w:t>
      </w:r>
      <w:r w:rsidRPr="007809E2">
        <w:t xml:space="preserve">, restaurants and retail channels. </w:t>
      </w:r>
    </w:p>
    <w:p w14:paraId="0B02531F" w14:textId="77777777" w:rsidR="004C05A9" w:rsidRDefault="00224205" w:rsidP="004C05A9">
      <w:r>
        <w:lastRenderedPageBreak/>
        <w:t xml:space="preserve">For </w:t>
      </w:r>
      <w:r w:rsidR="00141CF3">
        <w:t xml:space="preserve">more on </w:t>
      </w:r>
      <w:r w:rsidRPr="00224205">
        <w:t>out of home food &amp; drink consumption in the UK</w:t>
      </w:r>
      <w:r>
        <w:t xml:space="preserve">, </w:t>
      </w:r>
      <w:r w:rsidR="00141CF3">
        <w:t>and to a</w:t>
      </w:r>
      <w:r w:rsidR="00141CF3" w:rsidRPr="00141CF3">
        <w:t>ccess our cost-effective consumer insight and data solution</w:t>
      </w:r>
      <w:r w:rsidR="00141CF3">
        <w:t xml:space="preserve">, </w:t>
      </w:r>
      <w:r>
        <w:t xml:space="preserve">go to: </w:t>
      </w:r>
      <w:hyperlink r:id="rId12" w:history="1">
        <w:r w:rsidR="004C05A9" w:rsidRPr="00FD711C">
          <w:rPr>
            <w:rStyle w:val="Hyperlink"/>
          </w:rPr>
          <w:t>https://www.lumina-intelligence.com/product/eating-and-drinking-out-panel/</w:t>
        </w:r>
      </w:hyperlink>
    </w:p>
    <w:p w14:paraId="0DCC62EC" w14:textId="733B91B8" w:rsidR="00224205" w:rsidRDefault="00224205" w:rsidP="00BE3B0B"/>
    <w:p w14:paraId="2DD0E8DA" w14:textId="77777777" w:rsidR="00224205" w:rsidRDefault="00224205" w:rsidP="00BE3B0B"/>
    <w:p w14:paraId="3B188BAB" w14:textId="77777777" w:rsidR="00314689" w:rsidRPr="00550F8E" w:rsidRDefault="00314689" w:rsidP="00314689">
      <w:pPr>
        <w:rPr>
          <w:b/>
          <w:bCs/>
        </w:rPr>
      </w:pPr>
      <w:r w:rsidRPr="00550F8E">
        <w:rPr>
          <w:b/>
          <w:bCs/>
        </w:rPr>
        <w:t>Who We Are:</w:t>
      </w:r>
    </w:p>
    <w:p w14:paraId="37B2E2DB" w14:textId="77777777" w:rsidR="00314689" w:rsidRDefault="00314689" w:rsidP="00314689">
      <w:hyperlink r:id="rId13" w:history="1">
        <w:r w:rsidRPr="004C05A9">
          <w:rPr>
            <w:rStyle w:val="Hyperlink"/>
            <w:rFonts w:cstheme="minorHAnsi"/>
          </w:rPr>
          <w:t>Lumina Intelligence</w:t>
        </w:r>
      </w:hyperlink>
      <w:r>
        <w:t xml:space="preserve"> helps food and drink brands understand their consumers and markets - so they can grow faster, plan smarter, and make better commercial decisions.</w:t>
      </w:r>
    </w:p>
    <w:p w14:paraId="64B5CD30" w14:textId="77777777" w:rsidR="00314689" w:rsidRDefault="00314689" w:rsidP="00314689">
      <w:r>
        <w:t>We specialise in insight for grocery retail and hospitality, combining trusted data with expert analysis to support your commercial, category, and insight teams.</w:t>
      </w:r>
    </w:p>
    <w:p w14:paraId="2D8D9E47" w14:textId="77777777" w:rsidR="00314689" w:rsidRDefault="00314689" w:rsidP="00314689">
      <w:hyperlink r:id="rId14" w:history="1">
        <w:r w:rsidRPr="008F235E">
          <w:rPr>
            <w:rStyle w:val="Hyperlink"/>
          </w:rPr>
          <w:t>https://www.lumina-intelligence.com/</w:t>
        </w:r>
      </w:hyperlink>
      <w:r>
        <w:t xml:space="preserve"> </w:t>
      </w:r>
    </w:p>
    <w:p w14:paraId="0D67BA9B" w14:textId="7B433FB0" w:rsidR="00E465FF" w:rsidRDefault="00E465FF" w:rsidP="00314689"/>
    <w:sectPr w:rsidR="00E465FF" w:rsidSect="00141CF3">
      <w:pgSz w:w="11906" w:h="16838"/>
      <w:pgMar w:top="1440"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16F97"/>
    <w:multiLevelType w:val="multilevel"/>
    <w:tmpl w:val="A692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768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224F8"/>
    <w:rsid w:val="00043AAF"/>
    <w:rsid w:val="0005697A"/>
    <w:rsid w:val="0005722F"/>
    <w:rsid w:val="000741EA"/>
    <w:rsid w:val="00141CF3"/>
    <w:rsid w:val="001A4CBF"/>
    <w:rsid w:val="001C4683"/>
    <w:rsid w:val="001D4899"/>
    <w:rsid w:val="001E269C"/>
    <w:rsid w:val="00220325"/>
    <w:rsid w:val="00224205"/>
    <w:rsid w:val="00314689"/>
    <w:rsid w:val="00324152"/>
    <w:rsid w:val="00344384"/>
    <w:rsid w:val="00386092"/>
    <w:rsid w:val="003B5C03"/>
    <w:rsid w:val="004332B9"/>
    <w:rsid w:val="00463CA0"/>
    <w:rsid w:val="00464E8D"/>
    <w:rsid w:val="004C05A9"/>
    <w:rsid w:val="004E55EE"/>
    <w:rsid w:val="0050110C"/>
    <w:rsid w:val="00512049"/>
    <w:rsid w:val="00520DDC"/>
    <w:rsid w:val="00525529"/>
    <w:rsid w:val="005503B0"/>
    <w:rsid w:val="00584D75"/>
    <w:rsid w:val="005F3169"/>
    <w:rsid w:val="006302EF"/>
    <w:rsid w:val="00645C76"/>
    <w:rsid w:val="0069146D"/>
    <w:rsid w:val="006A7622"/>
    <w:rsid w:val="006B68D3"/>
    <w:rsid w:val="006D2B2B"/>
    <w:rsid w:val="007033DF"/>
    <w:rsid w:val="007462A8"/>
    <w:rsid w:val="007809E2"/>
    <w:rsid w:val="007B24B8"/>
    <w:rsid w:val="007B5765"/>
    <w:rsid w:val="007C11AE"/>
    <w:rsid w:val="007C29CE"/>
    <w:rsid w:val="007F3DEF"/>
    <w:rsid w:val="008027B1"/>
    <w:rsid w:val="00844A02"/>
    <w:rsid w:val="00873A6C"/>
    <w:rsid w:val="00896C04"/>
    <w:rsid w:val="008C2102"/>
    <w:rsid w:val="00942B78"/>
    <w:rsid w:val="00970A3C"/>
    <w:rsid w:val="009724BC"/>
    <w:rsid w:val="009740ED"/>
    <w:rsid w:val="0098585D"/>
    <w:rsid w:val="009B4215"/>
    <w:rsid w:val="00A0427B"/>
    <w:rsid w:val="00A161F1"/>
    <w:rsid w:val="00A503FD"/>
    <w:rsid w:val="00A77EFB"/>
    <w:rsid w:val="00AC40C1"/>
    <w:rsid w:val="00B25CB6"/>
    <w:rsid w:val="00B75F5E"/>
    <w:rsid w:val="00BE3B0B"/>
    <w:rsid w:val="00C22C33"/>
    <w:rsid w:val="00C318FA"/>
    <w:rsid w:val="00C370E6"/>
    <w:rsid w:val="00C7385B"/>
    <w:rsid w:val="00CF388F"/>
    <w:rsid w:val="00D21343"/>
    <w:rsid w:val="00D259BD"/>
    <w:rsid w:val="00DB5B70"/>
    <w:rsid w:val="00E069E8"/>
    <w:rsid w:val="00E135AE"/>
    <w:rsid w:val="00E465FF"/>
    <w:rsid w:val="00E67F87"/>
    <w:rsid w:val="00E86F6E"/>
    <w:rsid w:val="00ED2641"/>
    <w:rsid w:val="00EE25EC"/>
    <w:rsid w:val="00EF0656"/>
    <w:rsid w:val="00EF26A3"/>
    <w:rsid w:val="00F24DEE"/>
    <w:rsid w:val="00F356D1"/>
    <w:rsid w:val="00F437B3"/>
    <w:rsid w:val="00F558FA"/>
    <w:rsid w:val="00FA1B63"/>
    <w:rsid w:val="00FB5168"/>
    <w:rsid w:val="00FD1849"/>
    <w:rsid w:val="00FF4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46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437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 w:type="character" w:styleId="FollowedHyperlink">
    <w:name w:val="FollowedHyperlink"/>
    <w:basedOn w:val="DefaultParagraphFont"/>
    <w:uiPriority w:val="99"/>
    <w:semiHidden/>
    <w:unhideWhenUsed/>
    <w:rsid w:val="00224205"/>
    <w:rPr>
      <w:color w:val="954F72" w:themeColor="followedHyperlink"/>
      <w:u w:val="single"/>
    </w:rPr>
  </w:style>
  <w:style w:type="character" w:styleId="CommentReference">
    <w:name w:val="annotation reference"/>
    <w:basedOn w:val="DefaultParagraphFont"/>
    <w:uiPriority w:val="99"/>
    <w:semiHidden/>
    <w:unhideWhenUsed/>
    <w:rsid w:val="00A0427B"/>
    <w:rPr>
      <w:sz w:val="16"/>
      <w:szCs w:val="16"/>
    </w:rPr>
  </w:style>
  <w:style w:type="paragraph" w:styleId="CommentText">
    <w:name w:val="annotation text"/>
    <w:basedOn w:val="Normal"/>
    <w:link w:val="CommentTextChar"/>
    <w:uiPriority w:val="99"/>
    <w:unhideWhenUsed/>
    <w:rsid w:val="00A0427B"/>
    <w:pPr>
      <w:spacing w:line="240" w:lineRule="auto"/>
    </w:pPr>
    <w:rPr>
      <w:sz w:val="20"/>
      <w:szCs w:val="20"/>
    </w:rPr>
  </w:style>
  <w:style w:type="character" w:customStyle="1" w:styleId="CommentTextChar">
    <w:name w:val="Comment Text Char"/>
    <w:basedOn w:val="DefaultParagraphFont"/>
    <w:link w:val="CommentText"/>
    <w:uiPriority w:val="99"/>
    <w:rsid w:val="00A0427B"/>
    <w:rPr>
      <w:sz w:val="20"/>
      <w:szCs w:val="20"/>
    </w:rPr>
  </w:style>
  <w:style w:type="paragraph" w:styleId="CommentSubject">
    <w:name w:val="annotation subject"/>
    <w:basedOn w:val="CommentText"/>
    <w:next w:val="CommentText"/>
    <w:link w:val="CommentSubjectChar"/>
    <w:uiPriority w:val="99"/>
    <w:semiHidden/>
    <w:unhideWhenUsed/>
    <w:rsid w:val="00A0427B"/>
    <w:rPr>
      <w:b/>
      <w:bCs/>
    </w:rPr>
  </w:style>
  <w:style w:type="character" w:customStyle="1" w:styleId="CommentSubjectChar">
    <w:name w:val="Comment Subject Char"/>
    <w:basedOn w:val="CommentTextChar"/>
    <w:link w:val="CommentSubject"/>
    <w:uiPriority w:val="99"/>
    <w:semiHidden/>
    <w:rsid w:val="00A0427B"/>
    <w:rPr>
      <w:b/>
      <w:bCs/>
      <w:sz w:val="20"/>
      <w:szCs w:val="20"/>
    </w:rPr>
  </w:style>
  <w:style w:type="paragraph" w:styleId="NormalWeb">
    <w:name w:val="Normal (Web)"/>
    <w:basedOn w:val="Normal"/>
    <w:uiPriority w:val="99"/>
    <w:semiHidden/>
    <w:unhideWhenUsed/>
    <w:rsid w:val="009740ED"/>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F437B3"/>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1C468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4086">
      <w:bodyDiv w:val="1"/>
      <w:marLeft w:val="0"/>
      <w:marRight w:val="0"/>
      <w:marTop w:val="0"/>
      <w:marBottom w:val="0"/>
      <w:divBdr>
        <w:top w:val="none" w:sz="0" w:space="0" w:color="auto"/>
        <w:left w:val="none" w:sz="0" w:space="0" w:color="auto"/>
        <w:bottom w:val="none" w:sz="0" w:space="0" w:color="auto"/>
        <w:right w:val="none" w:sz="0" w:space="0" w:color="auto"/>
      </w:divBdr>
    </w:div>
    <w:div w:id="57897215">
      <w:bodyDiv w:val="1"/>
      <w:marLeft w:val="0"/>
      <w:marRight w:val="0"/>
      <w:marTop w:val="0"/>
      <w:marBottom w:val="0"/>
      <w:divBdr>
        <w:top w:val="none" w:sz="0" w:space="0" w:color="auto"/>
        <w:left w:val="none" w:sz="0" w:space="0" w:color="auto"/>
        <w:bottom w:val="none" w:sz="0" w:space="0" w:color="auto"/>
        <w:right w:val="none" w:sz="0" w:space="0" w:color="auto"/>
      </w:divBdr>
    </w:div>
    <w:div w:id="169220862">
      <w:bodyDiv w:val="1"/>
      <w:marLeft w:val="0"/>
      <w:marRight w:val="0"/>
      <w:marTop w:val="0"/>
      <w:marBottom w:val="0"/>
      <w:divBdr>
        <w:top w:val="none" w:sz="0" w:space="0" w:color="auto"/>
        <w:left w:val="none" w:sz="0" w:space="0" w:color="auto"/>
        <w:bottom w:val="none" w:sz="0" w:space="0" w:color="auto"/>
        <w:right w:val="none" w:sz="0" w:space="0" w:color="auto"/>
      </w:divBdr>
    </w:div>
    <w:div w:id="225533518">
      <w:bodyDiv w:val="1"/>
      <w:marLeft w:val="0"/>
      <w:marRight w:val="0"/>
      <w:marTop w:val="0"/>
      <w:marBottom w:val="0"/>
      <w:divBdr>
        <w:top w:val="none" w:sz="0" w:space="0" w:color="auto"/>
        <w:left w:val="none" w:sz="0" w:space="0" w:color="auto"/>
        <w:bottom w:val="none" w:sz="0" w:space="0" w:color="auto"/>
        <w:right w:val="none" w:sz="0" w:space="0" w:color="auto"/>
      </w:divBdr>
    </w:div>
    <w:div w:id="249125499">
      <w:bodyDiv w:val="1"/>
      <w:marLeft w:val="0"/>
      <w:marRight w:val="0"/>
      <w:marTop w:val="0"/>
      <w:marBottom w:val="0"/>
      <w:divBdr>
        <w:top w:val="none" w:sz="0" w:space="0" w:color="auto"/>
        <w:left w:val="none" w:sz="0" w:space="0" w:color="auto"/>
        <w:bottom w:val="none" w:sz="0" w:space="0" w:color="auto"/>
        <w:right w:val="none" w:sz="0" w:space="0" w:color="auto"/>
      </w:divBdr>
    </w:div>
    <w:div w:id="448353123">
      <w:bodyDiv w:val="1"/>
      <w:marLeft w:val="0"/>
      <w:marRight w:val="0"/>
      <w:marTop w:val="0"/>
      <w:marBottom w:val="0"/>
      <w:divBdr>
        <w:top w:val="none" w:sz="0" w:space="0" w:color="auto"/>
        <w:left w:val="none" w:sz="0" w:space="0" w:color="auto"/>
        <w:bottom w:val="none" w:sz="0" w:space="0" w:color="auto"/>
        <w:right w:val="none" w:sz="0" w:space="0" w:color="auto"/>
      </w:divBdr>
    </w:div>
    <w:div w:id="642854934">
      <w:bodyDiv w:val="1"/>
      <w:marLeft w:val="0"/>
      <w:marRight w:val="0"/>
      <w:marTop w:val="0"/>
      <w:marBottom w:val="0"/>
      <w:divBdr>
        <w:top w:val="none" w:sz="0" w:space="0" w:color="auto"/>
        <w:left w:val="none" w:sz="0" w:space="0" w:color="auto"/>
        <w:bottom w:val="none" w:sz="0" w:space="0" w:color="auto"/>
        <w:right w:val="none" w:sz="0" w:space="0" w:color="auto"/>
      </w:divBdr>
    </w:div>
    <w:div w:id="764611959">
      <w:bodyDiv w:val="1"/>
      <w:marLeft w:val="0"/>
      <w:marRight w:val="0"/>
      <w:marTop w:val="0"/>
      <w:marBottom w:val="0"/>
      <w:divBdr>
        <w:top w:val="none" w:sz="0" w:space="0" w:color="auto"/>
        <w:left w:val="none" w:sz="0" w:space="0" w:color="auto"/>
        <w:bottom w:val="none" w:sz="0" w:space="0" w:color="auto"/>
        <w:right w:val="none" w:sz="0" w:space="0" w:color="auto"/>
      </w:divBdr>
    </w:div>
    <w:div w:id="791485993">
      <w:bodyDiv w:val="1"/>
      <w:marLeft w:val="0"/>
      <w:marRight w:val="0"/>
      <w:marTop w:val="0"/>
      <w:marBottom w:val="0"/>
      <w:divBdr>
        <w:top w:val="none" w:sz="0" w:space="0" w:color="auto"/>
        <w:left w:val="none" w:sz="0" w:space="0" w:color="auto"/>
        <w:bottom w:val="none" w:sz="0" w:space="0" w:color="auto"/>
        <w:right w:val="none" w:sz="0" w:space="0" w:color="auto"/>
      </w:divBdr>
    </w:div>
    <w:div w:id="831991408">
      <w:bodyDiv w:val="1"/>
      <w:marLeft w:val="0"/>
      <w:marRight w:val="0"/>
      <w:marTop w:val="0"/>
      <w:marBottom w:val="0"/>
      <w:divBdr>
        <w:top w:val="none" w:sz="0" w:space="0" w:color="auto"/>
        <w:left w:val="none" w:sz="0" w:space="0" w:color="auto"/>
        <w:bottom w:val="none" w:sz="0" w:space="0" w:color="auto"/>
        <w:right w:val="none" w:sz="0" w:space="0" w:color="auto"/>
      </w:divBdr>
    </w:div>
    <w:div w:id="911622700">
      <w:bodyDiv w:val="1"/>
      <w:marLeft w:val="0"/>
      <w:marRight w:val="0"/>
      <w:marTop w:val="0"/>
      <w:marBottom w:val="0"/>
      <w:divBdr>
        <w:top w:val="none" w:sz="0" w:space="0" w:color="auto"/>
        <w:left w:val="none" w:sz="0" w:space="0" w:color="auto"/>
        <w:bottom w:val="none" w:sz="0" w:space="0" w:color="auto"/>
        <w:right w:val="none" w:sz="0" w:space="0" w:color="auto"/>
      </w:divBdr>
    </w:div>
    <w:div w:id="972444253">
      <w:bodyDiv w:val="1"/>
      <w:marLeft w:val="0"/>
      <w:marRight w:val="0"/>
      <w:marTop w:val="0"/>
      <w:marBottom w:val="0"/>
      <w:divBdr>
        <w:top w:val="none" w:sz="0" w:space="0" w:color="auto"/>
        <w:left w:val="none" w:sz="0" w:space="0" w:color="auto"/>
        <w:bottom w:val="none" w:sz="0" w:space="0" w:color="auto"/>
        <w:right w:val="none" w:sz="0" w:space="0" w:color="auto"/>
      </w:divBdr>
    </w:div>
    <w:div w:id="1017077133">
      <w:bodyDiv w:val="1"/>
      <w:marLeft w:val="0"/>
      <w:marRight w:val="0"/>
      <w:marTop w:val="0"/>
      <w:marBottom w:val="0"/>
      <w:divBdr>
        <w:top w:val="none" w:sz="0" w:space="0" w:color="auto"/>
        <w:left w:val="none" w:sz="0" w:space="0" w:color="auto"/>
        <w:bottom w:val="none" w:sz="0" w:space="0" w:color="auto"/>
        <w:right w:val="none" w:sz="0" w:space="0" w:color="auto"/>
      </w:divBdr>
    </w:div>
    <w:div w:id="1114909665">
      <w:bodyDiv w:val="1"/>
      <w:marLeft w:val="0"/>
      <w:marRight w:val="0"/>
      <w:marTop w:val="0"/>
      <w:marBottom w:val="0"/>
      <w:divBdr>
        <w:top w:val="none" w:sz="0" w:space="0" w:color="auto"/>
        <w:left w:val="none" w:sz="0" w:space="0" w:color="auto"/>
        <w:bottom w:val="none" w:sz="0" w:space="0" w:color="auto"/>
        <w:right w:val="none" w:sz="0" w:space="0" w:color="auto"/>
      </w:divBdr>
    </w:div>
    <w:div w:id="1316839547">
      <w:bodyDiv w:val="1"/>
      <w:marLeft w:val="0"/>
      <w:marRight w:val="0"/>
      <w:marTop w:val="0"/>
      <w:marBottom w:val="0"/>
      <w:divBdr>
        <w:top w:val="none" w:sz="0" w:space="0" w:color="auto"/>
        <w:left w:val="none" w:sz="0" w:space="0" w:color="auto"/>
        <w:bottom w:val="none" w:sz="0" w:space="0" w:color="auto"/>
        <w:right w:val="none" w:sz="0" w:space="0" w:color="auto"/>
      </w:divBdr>
    </w:div>
    <w:div w:id="1456943599">
      <w:bodyDiv w:val="1"/>
      <w:marLeft w:val="0"/>
      <w:marRight w:val="0"/>
      <w:marTop w:val="0"/>
      <w:marBottom w:val="0"/>
      <w:divBdr>
        <w:top w:val="none" w:sz="0" w:space="0" w:color="auto"/>
        <w:left w:val="none" w:sz="0" w:space="0" w:color="auto"/>
        <w:bottom w:val="none" w:sz="0" w:space="0" w:color="auto"/>
        <w:right w:val="none" w:sz="0" w:space="0" w:color="auto"/>
      </w:divBdr>
    </w:div>
    <w:div w:id="1556502830">
      <w:bodyDiv w:val="1"/>
      <w:marLeft w:val="0"/>
      <w:marRight w:val="0"/>
      <w:marTop w:val="0"/>
      <w:marBottom w:val="0"/>
      <w:divBdr>
        <w:top w:val="none" w:sz="0" w:space="0" w:color="auto"/>
        <w:left w:val="none" w:sz="0" w:space="0" w:color="auto"/>
        <w:bottom w:val="none" w:sz="0" w:space="0" w:color="auto"/>
        <w:right w:val="none" w:sz="0" w:space="0" w:color="auto"/>
      </w:divBdr>
    </w:div>
    <w:div w:id="1574125512">
      <w:bodyDiv w:val="1"/>
      <w:marLeft w:val="0"/>
      <w:marRight w:val="0"/>
      <w:marTop w:val="0"/>
      <w:marBottom w:val="0"/>
      <w:divBdr>
        <w:top w:val="none" w:sz="0" w:space="0" w:color="auto"/>
        <w:left w:val="none" w:sz="0" w:space="0" w:color="auto"/>
        <w:bottom w:val="none" w:sz="0" w:space="0" w:color="auto"/>
        <w:right w:val="none" w:sz="0" w:space="0" w:color="auto"/>
      </w:divBdr>
    </w:div>
    <w:div w:id="1633366001">
      <w:bodyDiv w:val="1"/>
      <w:marLeft w:val="0"/>
      <w:marRight w:val="0"/>
      <w:marTop w:val="0"/>
      <w:marBottom w:val="0"/>
      <w:divBdr>
        <w:top w:val="none" w:sz="0" w:space="0" w:color="auto"/>
        <w:left w:val="none" w:sz="0" w:space="0" w:color="auto"/>
        <w:bottom w:val="none" w:sz="0" w:space="0" w:color="auto"/>
        <w:right w:val="none" w:sz="0" w:space="0" w:color="auto"/>
      </w:divBdr>
    </w:div>
    <w:div w:id="1768622867">
      <w:bodyDiv w:val="1"/>
      <w:marLeft w:val="0"/>
      <w:marRight w:val="0"/>
      <w:marTop w:val="0"/>
      <w:marBottom w:val="0"/>
      <w:divBdr>
        <w:top w:val="none" w:sz="0" w:space="0" w:color="auto"/>
        <w:left w:val="none" w:sz="0" w:space="0" w:color="auto"/>
        <w:bottom w:val="none" w:sz="0" w:space="0" w:color="auto"/>
        <w:right w:val="none" w:sz="0" w:space="0" w:color="auto"/>
      </w:divBdr>
    </w:div>
    <w:div w:id="1788887733">
      <w:bodyDiv w:val="1"/>
      <w:marLeft w:val="0"/>
      <w:marRight w:val="0"/>
      <w:marTop w:val="0"/>
      <w:marBottom w:val="0"/>
      <w:divBdr>
        <w:top w:val="none" w:sz="0" w:space="0" w:color="auto"/>
        <w:left w:val="none" w:sz="0" w:space="0" w:color="auto"/>
        <w:bottom w:val="none" w:sz="0" w:space="0" w:color="auto"/>
        <w:right w:val="none" w:sz="0" w:space="0" w:color="auto"/>
      </w:divBdr>
    </w:div>
    <w:div w:id="1868524692">
      <w:bodyDiv w:val="1"/>
      <w:marLeft w:val="0"/>
      <w:marRight w:val="0"/>
      <w:marTop w:val="0"/>
      <w:marBottom w:val="0"/>
      <w:divBdr>
        <w:top w:val="none" w:sz="0" w:space="0" w:color="auto"/>
        <w:left w:val="none" w:sz="0" w:space="0" w:color="auto"/>
        <w:bottom w:val="none" w:sz="0" w:space="0" w:color="auto"/>
        <w:right w:val="none" w:sz="0" w:space="0" w:color="auto"/>
      </w:divBdr>
    </w:div>
    <w:div w:id="204289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umina-intelligenc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umina-intelligence.com/product/eating-and-drinking-out-pane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umina-intelligence.com/product/eating-and-drinking-out-pane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umina-intelligence.com/product/eating-and-drinking-out-panel/" TargetMode="External"/><Relationship Id="rId4" Type="http://schemas.openxmlformats.org/officeDocument/2006/relationships/numbering" Target="numbering.xml"/><Relationship Id="rId9" Type="http://schemas.openxmlformats.org/officeDocument/2006/relationships/hyperlink" Target="mailto:monica.ricocastrillo@lumina-intelligence.co.uk" TargetMode="External"/><Relationship Id="rId14"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C2A038AA2A9489F365E623231785F" ma:contentTypeVersion="14" ma:contentTypeDescription="Create a new document." ma:contentTypeScope="" ma:versionID="bbe8183be903a95a9af46b9e7f940ed1">
  <xsd:schema xmlns:xsd="http://www.w3.org/2001/XMLSchema" xmlns:xs="http://www.w3.org/2001/XMLSchema" xmlns:p="http://schemas.microsoft.com/office/2006/metadata/properties" xmlns:ns3="1fd7eceb-fc85-44ad-b2a4-3e682c8dcbfc" xmlns:ns4="78337373-c547-43d0-875c-96a7ce2ad59b" targetNamespace="http://schemas.microsoft.com/office/2006/metadata/properties" ma:root="true" ma:fieldsID="346003a15f1afcec85aaaf977d386759" ns3:_="" ns4:_="">
    <xsd:import namespace="1fd7eceb-fc85-44ad-b2a4-3e682c8dcbfc"/>
    <xsd:import namespace="78337373-c547-43d0-875c-96a7ce2ad5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eceb-fc85-44ad-b2a4-3e682c8dcb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37373-c547-43d0-875c-96a7ce2ad5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8337373-c547-43d0-875c-96a7ce2ad5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072D4-F28E-466D-AA2F-12C971BB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7eceb-fc85-44ad-b2a4-3e682c8dcbfc"/>
    <ds:schemaRef ds:uri="78337373-c547-43d0-875c-96a7ce2ad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FC6D14-E609-44F0-9ED7-AE9BE556A208}">
  <ds:schemaRefs>
    <ds:schemaRef ds:uri="http://schemas.microsoft.com/office/2006/metadata/properties"/>
    <ds:schemaRef ds:uri="http://schemas.microsoft.com/office/infopath/2007/PartnerControls"/>
    <ds:schemaRef ds:uri="78337373-c547-43d0-875c-96a7ce2ad59b"/>
  </ds:schemaRefs>
</ds:datastoreItem>
</file>

<file path=customXml/itemProps3.xml><?xml version="1.0" encoding="utf-8"?>
<ds:datastoreItem xmlns:ds="http://schemas.openxmlformats.org/officeDocument/2006/customXml" ds:itemID="{3345D18D-638B-4C1C-8568-B27DCF730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4</cp:revision>
  <dcterms:created xsi:type="dcterms:W3CDTF">2025-07-24T14:45:00Z</dcterms:created>
  <dcterms:modified xsi:type="dcterms:W3CDTF">2025-08-15T10:07:00Z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0x010100295C2A038AA2A9489F365E623231785F</vt:lpwstr>
  </property>
</Properties>
</file>