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16301516">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5">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7C42EB77" w:rsidR="00E86F6E" w:rsidRPr="008B64C2" w:rsidRDefault="000716C4"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49A82F4F" w:rsidR="00E86F6E" w:rsidRPr="008B64C2" w:rsidRDefault="000716C4" w:rsidP="00E86F6E">
      <w:pPr>
        <w:spacing w:after="0" w:line="240" w:lineRule="auto"/>
        <w:rPr>
          <w:rStyle w:val="Hyperlink"/>
          <w:rFonts w:cstheme="majorHAnsi"/>
          <w:color w:val="505050"/>
          <w:sz w:val="20"/>
          <w:szCs w:val="20"/>
        </w:rPr>
      </w:pPr>
      <w:hyperlink r:id="rId6" w:history="1">
        <w:r w:rsidRPr="00C9585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6F193ACD" w14:textId="49C14760" w:rsidR="00E86F6E" w:rsidRDefault="00C86A2F"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30</w:t>
      </w:r>
      <w:r w:rsidR="007172BA" w:rsidRPr="007172BA">
        <w:rPr>
          <w:rFonts w:asciiTheme="majorHAnsi" w:hAnsiTheme="majorHAnsi" w:cstheme="majorHAnsi"/>
          <w:b/>
          <w:bCs/>
          <w:sz w:val="20"/>
          <w:szCs w:val="20"/>
          <w:u w:val="single"/>
          <w:vertAlign w:val="superscript"/>
        </w:rPr>
        <w:t>th</w:t>
      </w:r>
      <w:r w:rsidR="007172BA">
        <w:rPr>
          <w:rFonts w:asciiTheme="majorHAnsi" w:hAnsiTheme="majorHAnsi" w:cstheme="majorHAnsi"/>
          <w:b/>
          <w:bCs/>
          <w:sz w:val="20"/>
          <w:szCs w:val="20"/>
          <w:u w:val="single"/>
        </w:rPr>
        <w:t xml:space="preserve"> </w:t>
      </w:r>
      <w:r>
        <w:rPr>
          <w:rFonts w:asciiTheme="majorHAnsi" w:hAnsiTheme="majorHAnsi" w:cstheme="majorHAnsi"/>
          <w:b/>
          <w:bCs/>
          <w:sz w:val="20"/>
          <w:szCs w:val="20"/>
          <w:u w:val="single"/>
        </w:rPr>
        <w:t>October</w:t>
      </w:r>
      <w:r w:rsidR="007172BA">
        <w:rPr>
          <w:rFonts w:asciiTheme="majorHAnsi" w:hAnsiTheme="majorHAnsi" w:cstheme="majorHAnsi"/>
          <w:b/>
          <w:bCs/>
          <w:sz w:val="20"/>
          <w:szCs w:val="20"/>
          <w:u w:val="single"/>
        </w:rPr>
        <w:t xml:space="preserve"> 2025</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5FA31885" w14:textId="77777777" w:rsidR="00C86A2F" w:rsidRDefault="00C86A2F" w:rsidP="00C86A2F">
      <w:pPr>
        <w:rPr>
          <w:b/>
          <w:bCs/>
          <w:sz w:val="24"/>
          <w:szCs w:val="24"/>
        </w:rPr>
      </w:pPr>
      <w:bookmarkStart w:id="0" w:name="_Hlk212455204"/>
      <w:r w:rsidRPr="00C86A2F">
        <w:rPr>
          <w:b/>
          <w:bCs/>
          <w:sz w:val="24"/>
          <w:szCs w:val="24"/>
        </w:rPr>
        <w:t>Digital transformation and AI reshape the UK wholesale landscape</w:t>
      </w:r>
    </w:p>
    <w:bookmarkEnd w:id="0"/>
    <w:p w14:paraId="2987C4E9" w14:textId="5D660978" w:rsidR="00C86A2F" w:rsidRPr="00C86A2F" w:rsidRDefault="00C86A2F" w:rsidP="00C86A2F">
      <w:r w:rsidRPr="00C86A2F">
        <w:t xml:space="preserve">Lumina Intelligence has today launched the </w:t>
      </w:r>
      <w:hyperlink r:id="rId7" w:history="1">
        <w:r w:rsidRPr="00C86A2F">
          <w:rPr>
            <w:rStyle w:val="Hyperlink"/>
            <w:b/>
            <w:bCs/>
          </w:rPr>
          <w:t>UK Wholesale Online Report 2025</w:t>
        </w:r>
      </w:hyperlink>
      <w:r w:rsidRPr="00C86A2F">
        <w:t>, offering the most comprehensive analysis yet of digital transformation across the UK wholesale sector.</w:t>
      </w:r>
    </w:p>
    <w:p w14:paraId="5899E91F" w14:textId="77777777" w:rsidR="00C86A2F" w:rsidRPr="00C86A2F" w:rsidRDefault="00C86A2F" w:rsidP="00C86A2F">
      <w:r w:rsidRPr="00C86A2F">
        <w:t>As ecommerce cements itself as the leading route to market, wholesalers and suppliers are accelerating investment in technology, data and AI to boost efficiency, improve visibility and deliver greater value to customers.</w:t>
      </w:r>
    </w:p>
    <w:p w14:paraId="2391393C" w14:textId="77777777" w:rsidR="00C86A2F" w:rsidRPr="00C86A2F" w:rsidRDefault="00C86A2F" w:rsidP="00C86A2F">
      <w:r w:rsidRPr="00C86A2F">
        <w:t>The report provides robust data on how retailers and foodservice operators are shopping online, how wholesalers are enhancing digital experiences, and what trends will define growth through 2028.</w:t>
      </w:r>
    </w:p>
    <w:p w14:paraId="154D66A6" w14:textId="77777777" w:rsidR="00C86A2F" w:rsidRPr="00C86A2F" w:rsidRDefault="00C86A2F" w:rsidP="00C86A2F">
      <w:pPr>
        <w:rPr>
          <w:b/>
          <w:bCs/>
        </w:rPr>
      </w:pPr>
      <w:r w:rsidRPr="00C86A2F">
        <w:rPr>
          <w:b/>
          <w:bCs/>
        </w:rPr>
        <w:t>Key themes explored include:</w:t>
      </w:r>
    </w:p>
    <w:p w14:paraId="5567BC74" w14:textId="77777777" w:rsidR="00C86A2F" w:rsidRPr="00C86A2F" w:rsidRDefault="00C86A2F" w:rsidP="00C86A2F">
      <w:pPr>
        <w:numPr>
          <w:ilvl w:val="0"/>
          <w:numId w:val="1"/>
        </w:numPr>
      </w:pPr>
      <w:r w:rsidRPr="00C86A2F">
        <w:t>The rise of online as the dominant wholesale channel</w:t>
      </w:r>
    </w:p>
    <w:p w14:paraId="07B5994B" w14:textId="77777777" w:rsidR="00C86A2F" w:rsidRPr="00C86A2F" w:rsidRDefault="00C86A2F" w:rsidP="00C86A2F">
      <w:pPr>
        <w:numPr>
          <w:ilvl w:val="0"/>
          <w:numId w:val="1"/>
        </w:numPr>
      </w:pPr>
      <w:r w:rsidRPr="00C86A2F">
        <w:t>Operator behaviour and motivations in a digital-first market</w:t>
      </w:r>
    </w:p>
    <w:p w14:paraId="5CC67BFB" w14:textId="77777777" w:rsidR="00C86A2F" w:rsidRPr="00C86A2F" w:rsidRDefault="00C86A2F" w:rsidP="00C86A2F">
      <w:pPr>
        <w:numPr>
          <w:ilvl w:val="0"/>
          <w:numId w:val="1"/>
        </w:numPr>
      </w:pPr>
      <w:r w:rsidRPr="00C86A2F">
        <w:t>Mobile, personalisation and cross-device optimisation</w:t>
      </w:r>
    </w:p>
    <w:p w14:paraId="458F2CB1" w14:textId="77777777" w:rsidR="00C86A2F" w:rsidRPr="00C86A2F" w:rsidRDefault="00C86A2F" w:rsidP="00C86A2F">
      <w:pPr>
        <w:numPr>
          <w:ilvl w:val="0"/>
          <w:numId w:val="1"/>
        </w:numPr>
      </w:pPr>
      <w:r w:rsidRPr="00C86A2F">
        <w:t>AI’s impact on search, marketing and customer engagement</w:t>
      </w:r>
    </w:p>
    <w:p w14:paraId="20B25A58" w14:textId="77777777" w:rsidR="00C86A2F" w:rsidRPr="00C86A2F" w:rsidRDefault="00C86A2F" w:rsidP="00C86A2F">
      <w:pPr>
        <w:numPr>
          <w:ilvl w:val="0"/>
          <w:numId w:val="1"/>
        </w:numPr>
      </w:pPr>
      <w:r w:rsidRPr="00C86A2F">
        <w:t>Efficiency, loyalty and the future of ecommerce performance</w:t>
      </w:r>
    </w:p>
    <w:p w14:paraId="637C123D" w14:textId="77777777" w:rsidR="00C86A2F" w:rsidRDefault="00C86A2F" w:rsidP="00C86A2F">
      <w:pPr>
        <w:rPr>
          <w:b/>
          <w:bCs/>
        </w:rPr>
      </w:pPr>
    </w:p>
    <w:p w14:paraId="4E7038B7" w14:textId="7830FA04" w:rsidR="00C86A2F" w:rsidRPr="00C86A2F" w:rsidRDefault="00C86A2F" w:rsidP="00C86A2F">
      <w:r w:rsidRPr="00C86A2F">
        <w:t>Martina Larisch Di Rocco, Senior Insight Manager at Lumina Intelligence</w:t>
      </w:r>
      <w:r>
        <w:t>, commented: “T</w:t>
      </w:r>
      <w:r w:rsidRPr="00C86A2F">
        <w:t>he report captures a pivotal moment for the industry. Online is now a fundamental channel, but AI and data-led personalisation are setting a new benchmark for success. We’re helping the industry see where the digital momentum is heading next.”</w:t>
      </w:r>
    </w:p>
    <w:p w14:paraId="5EF2BA4D" w14:textId="77777777" w:rsidR="00C86A2F" w:rsidRDefault="00C86A2F" w:rsidP="00F8356C"/>
    <w:p w14:paraId="35501E48" w14:textId="29D4ACB7" w:rsidR="000716C4" w:rsidRDefault="00C86A2F" w:rsidP="00F8356C">
      <w:r>
        <w:t>ENDs</w:t>
      </w:r>
    </w:p>
    <w:p w14:paraId="2C652FDC" w14:textId="77777777" w:rsidR="00C86A2F" w:rsidRPr="00662109" w:rsidRDefault="00C86A2F" w:rsidP="00F8356C"/>
    <w:p w14:paraId="6A92D519" w14:textId="2B1C8100" w:rsidR="00C86A2F" w:rsidRDefault="00C86A2F" w:rsidP="00C86A2F">
      <w:r w:rsidRPr="00C86A2F">
        <w:t xml:space="preserve">The </w:t>
      </w:r>
      <w:hyperlink r:id="rId8" w:history="1">
        <w:r w:rsidRPr="00C86A2F">
          <w:rPr>
            <w:rStyle w:val="Hyperlink"/>
            <w:b/>
            <w:bCs/>
          </w:rPr>
          <w:t>UK Wholesale Online Report 2025</w:t>
        </w:r>
      </w:hyperlink>
      <w:r w:rsidRPr="00C86A2F">
        <w:t xml:space="preserve"> is essential reading for wholesalers, suppliers and digital partners seeking to benchmark performance and prepare for the next phase of ecommerce innovation.</w:t>
      </w:r>
    </w:p>
    <w:p w14:paraId="24E4448C" w14:textId="77777777" w:rsidR="00C86A2F" w:rsidRPr="00C86A2F" w:rsidRDefault="00C86A2F" w:rsidP="00C86A2F"/>
    <w:p w14:paraId="3CB52FB3" w14:textId="7B9DAA15" w:rsidR="00C86A2F" w:rsidRPr="00C86A2F" w:rsidRDefault="00C86A2F" w:rsidP="00C86A2F">
      <w:pPr>
        <w:rPr>
          <w:b/>
          <w:bCs/>
        </w:rPr>
      </w:pPr>
      <w:r w:rsidRPr="00C86A2F">
        <w:rPr>
          <w:b/>
          <w:bCs/>
        </w:rPr>
        <w:t>Methodology</w:t>
      </w:r>
    </w:p>
    <w:p w14:paraId="0DF3AD96" w14:textId="77777777" w:rsidR="00C86A2F" w:rsidRPr="00C86A2F" w:rsidRDefault="00C86A2F" w:rsidP="00C86A2F">
      <w:r w:rsidRPr="00C86A2F">
        <w:t>The report combines multiple research sources, including:</w:t>
      </w:r>
    </w:p>
    <w:p w14:paraId="585718E0" w14:textId="77777777" w:rsidR="00C86A2F" w:rsidRPr="00C86A2F" w:rsidRDefault="00C86A2F" w:rsidP="00C86A2F">
      <w:pPr>
        <w:numPr>
          <w:ilvl w:val="0"/>
          <w:numId w:val="2"/>
        </w:numPr>
      </w:pPr>
      <w:r w:rsidRPr="00C86A2F">
        <w:rPr>
          <w:b/>
          <w:bCs/>
        </w:rPr>
        <w:t>b2b.store platform data</w:t>
      </w:r>
      <w:r w:rsidRPr="00C86A2F">
        <w:t xml:space="preserve"> from 15 UK wholesalers’ websites and apps (Jan–Jun 2024–2025)</w:t>
      </w:r>
    </w:p>
    <w:p w14:paraId="20622ADC" w14:textId="77777777" w:rsidR="00C86A2F" w:rsidRPr="00C86A2F" w:rsidRDefault="00C86A2F" w:rsidP="00C86A2F">
      <w:pPr>
        <w:numPr>
          <w:ilvl w:val="0"/>
          <w:numId w:val="2"/>
        </w:numPr>
      </w:pPr>
      <w:r w:rsidRPr="00C86A2F">
        <w:rPr>
          <w:b/>
          <w:bCs/>
        </w:rPr>
        <w:t>Retailer Attitudes &amp; Behaviours Study</w:t>
      </w:r>
      <w:r w:rsidRPr="00C86A2F">
        <w:t xml:space="preserve"> (400 retailer interviews, May–Jun 2025)</w:t>
      </w:r>
    </w:p>
    <w:p w14:paraId="7112F975" w14:textId="6BD77C8E" w:rsidR="00C86A2F" w:rsidRPr="00C86A2F" w:rsidRDefault="007C4171" w:rsidP="00C86A2F">
      <w:pPr>
        <w:numPr>
          <w:ilvl w:val="0"/>
          <w:numId w:val="2"/>
        </w:numPr>
      </w:pPr>
      <w:r w:rsidRPr="007C4171">
        <w:rPr>
          <w:b/>
          <w:bCs/>
        </w:rPr>
        <w:lastRenderedPageBreak/>
        <w:t>Bespoke Wholesale Study</w:t>
      </w:r>
      <w:r w:rsidRPr="007C4171">
        <w:rPr>
          <w:b/>
          <w:bCs/>
        </w:rPr>
        <w:t xml:space="preserve"> </w:t>
      </w:r>
      <w:r w:rsidR="00C86A2F" w:rsidRPr="00C86A2F">
        <w:t>(600 operator surveys, Aug 2024–2025)</w:t>
      </w:r>
    </w:p>
    <w:p w14:paraId="7FF8FEE7" w14:textId="77777777" w:rsidR="00C86A2F" w:rsidRPr="00C86A2F" w:rsidRDefault="00C86A2F" w:rsidP="00C86A2F">
      <w:pPr>
        <w:numPr>
          <w:ilvl w:val="0"/>
          <w:numId w:val="2"/>
        </w:numPr>
      </w:pPr>
      <w:r w:rsidRPr="00C86A2F">
        <w:rPr>
          <w:b/>
          <w:bCs/>
        </w:rPr>
        <w:t>AI Expert Interviews</w:t>
      </w:r>
      <w:r w:rsidRPr="00C86A2F">
        <w:t xml:space="preserve"> with industry leaders conducted jointly with </w:t>
      </w:r>
      <w:r w:rsidRPr="00C86A2F">
        <w:rPr>
          <w:i/>
          <w:iCs/>
        </w:rPr>
        <w:t>The Grocer</w:t>
      </w:r>
      <w:r w:rsidRPr="00C86A2F">
        <w:t xml:space="preserve"> (Sept–Oct 2025)</w:t>
      </w:r>
    </w:p>
    <w:p w14:paraId="666FEBEF" w14:textId="77777777" w:rsidR="00C86A2F" w:rsidRDefault="00C86A2F" w:rsidP="00C86A2F">
      <w:pPr>
        <w:rPr>
          <w:b/>
          <w:bCs/>
        </w:rPr>
      </w:pPr>
    </w:p>
    <w:p w14:paraId="3FE0D27E" w14:textId="700AB934" w:rsidR="00C86A2F" w:rsidRPr="00C86A2F" w:rsidRDefault="00C86A2F" w:rsidP="00C86A2F">
      <w:pPr>
        <w:rPr>
          <w:b/>
          <w:bCs/>
        </w:rPr>
      </w:pPr>
      <w:r w:rsidRPr="00C86A2F">
        <w:rPr>
          <w:b/>
          <w:bCs/>
        </w:rPr>
        <w:t>Who We Are:</w:t>
      </w:r>
    </w:p>
    <w:p w14:paraId="2EF814E6" w14:textId="77777777" w:rsidR="00C86A2F" w:rsidRDefault="00C86A2F" w:rsidP="00C86A2F">
      <w:r w:rsidRPr="00C86A2F">
        <w:rPr>
          <w:b/>
          <w:bCs/>
        </w:rPr>
        <w:t>Lumina Intelligence</w:t>
      </w:r>
      <w:r>
        <w:t xml:space="preserve"> helps food and drink brands understand their consumers and markets - so they can grow faster, plan smarter, and make better commercial decisions.</w:t>
      </w:r>
    </w:p>
    <w:p w14:paraId="7E468F52" w14:textId="77777777" w:rsidR="00C86A2F" w:rsidRDefault="00C86A2F" w:rsidP="00C86A2F">
      <w:r>
        <w:t>We specialise in insight for grocery retail and hospitality, combining trusted data with expert analysis to support your commercial, category, and insight teams.</w:t>
      </w:r>
    </w:p>
    <w:p w14:paraId="73F53FD6" w14:textId="52325599" w:rsidR="00C86A2F" w:rsidRDefault="00C86A2F" w:rsidP="00C86A2F">
      <w:hyperlink r:id="rId9" w:history="1">
        <w:r w:rsidRPr="00415F83">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1696C"/>
    <w:multiLevelType w:val="multilevel"/>
    <w:tmpl w:val="65D2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E42C9"/>
    <w:multiLevelType w:val="multilevel"/>
    <w:tmpl w:val="949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144062">
    <w:abstractNumId w:val="1"/>
  </w:num>
  <w:num w:numId="2" w16cid:durableId="35188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5697A"/>
    <w:rsid w:val="000716C4"/>
    <w:rsid w:val="000A4B42"/>
    <w:rsid w:val="000C2AB7"/>
    <w:rsid w:val="000D4BEE"/>
    <w:rsid w:val="00141CF3"/>
    <w:rsid w:val="00150B69"/>
    <w:rsid w:val="0015705B"/>
    <w:rsid w:val="001E269C"/>
    <w:rsid w:val="00224205"/>
    <w:rsid w:val="0031311A"/>
    <w:rsid w:val="003B5C03"/>
    <w:rsid w:val="004332B9"/>
    <w:rsid w:val="00481BE5"/>
    <w:rsid w:val="004A7818"/>
    <w:rsid w:val="004D74E3"/>
    <w:rsid w:val="0050110C"/>
    <w:rsid w:val="00511BB2"/>
    <w:rsid w:val="00520DDC"/>
    <w:rsid w:val="005503B0"/>
    <w:rsid w:val="00584D75"/>
    <w:rsid w:val="005E6368"/>
    <w:rsid w:val="005F3169"/>
    <w:rsid w:val="00616D90"/>
    <w:rsid w:val="00616E97"/>
    <w:rsid w:val="006302EF"/>
    <w:rsid w:val="0063270F"/>
    <w:rsid w:val="00645C76"/>
    <w:rsid w:val="00662109"/>
    <w:rsid w:val="0069146D"/>
    <w:rsid w:val="00695351"/>
    <w:rsid w:val="006B68D3"/>
    <w:rsid w:val="006D079E"/>
    <w:rsid w:val="006D2B2B"/>
    <w:rsid w:val="007033DF"/>
    <w:rsid w:val="007172BA"/>
    <w:rsid w:val="007462A8"/>
    <w:rsid w:val="007809E2"/>
    <w:rsid w:val="007C11AE"/>
    <w:rsid w:val="007C4171"/>
    <w:rsid w:val="00844A02"/>
    <w:rsid w:val="00873A6C"/>
    <w:rsid w:val="00896C04"/>
    <w:rsid w:val="008C2102"/>
    <w:rsid w:val="008D489A"/>
    <w:rsid w:val="00907FC6"/>
    <w:rsid w:val="00942B78"/>
    <w:rsid w:val="00951FE0"/>
    <w:rsid w:val="00955C85"/>
    <w:rsid w:val="009724BC"/>
    <w:rsid w:val="009763CE"/>
    <w:rsid w:val="0098585D"/>
    <w:rsid w:val="009F00F7"/>
    <w:rsid w:val="00A34D72"/>
    <w:rsid w:val="00A75149"/>
    <w:rsid w:val="00B043B4"/>
    <w:rsid w:val="00BE2E68"/>
    <w:rsid w:val="00BE3B0B"/>
    <w:rsid w:val="00C22C33"/>
    <w:rsid w:val="00C2520B"/>
    <w:rsid w:val="00C318FA"/>
    <w:rsid w:val="00C370E6"/>
    <w:rsid w:val="00C7385B"/>
    <w:rsid w:val="00C775D6"/>
    <w:rsid w:val="00C86A2F"/>
    <w:rsid w:val="00CD68B7"/>
    <w:rsid w:val="00CF388F"/>
    <w:rsid w:val="00CF4340"/>
    <w:rsid w:val="00D00263"/>
    <w:rsid w:val="00D17BAE"/>
    <w:rsid w:val="00D21343"/>
    <w:rsid w:val="00D259BD"/>
    <w:rsid w:val="00DB5B70"/>
    <w:rsid w:val="00E069E8"/>
    <w:rsid w:val="00E465FF"/>
    <w:rsid w:val="00E70827"/>
    <w:rsid w:val="00E86F6E"/>
    <w:rsid w:val="00EC5419"/>
    <w:rsid w:val="00EE25EC"/>
    <w:rsid w:val="00EF0656"/>
    <w:rsid w:val="00F24DEE"/>
    <w:rsid w:val="00F356D1"/>
    <w:rsid w:val="00F558FA"/>
    <w:rsid w:val="00F8356C"/>
    <w:rsid w:val="00FD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D17BAE"/>
    <w:rPr>
      <w:sz w:val="16"/>
      <w:szCs w:val="16"/>
    </w:rPr>
  </w:style>
  <w:style w:type="paragraph" w:styleId="CommentText">
    <w:name w:val="annotation text"/>
    <w:basedOn w:val="Normal"/>
    <w:link w:val="CommentTextChar"/>
    <w:uiPriority w:val="99"/>
    <w:unhideWhenUsed/>
    <w:rsid w:val="00D17BAE"/>
    <w:pPr>
      <w:spacing w:line="240" w:lineRule="auto"/>
    </w:pPr>
    <w:rPr>
      <w:sz w:val="20"/>
      <w:szCs w:val="20"/>
    </w:rPr>
  </w:style>
  <w:style w:type="character" w:customStyle="1" w:styleId="CommentTextChar">
    <w:name w:val="Comment Text Char"/>
    <w:basedOn w:val="DefaultParagraphFont"/>
    <w:link w:val="CommentText"/>
    <w:uiPriority w:val="99"/>
    <w:rsid w:val="00D17BAE"/>
    <w:rPr>
      <w:sz w:val="20"/>
      <w:szCs w:val="20"/>
    </w:rPr>
  </w:style>
  <w:style w:type="paragraph" w:styleId="CommentSubject">
    <w:name w:val="annotation subject"/>
    <w:basedOn w:val="CommentText"/>
    <w:next w:val="CommentText"/>
    <w:link w:val="CommentSubjectChar"/>
    <w:uiPriority w:val="99"/>
    <w:semiHidden/>
    <w:unhideWhenUsed/>
    <w:rsid w:val="00D17BAE"/>
    <w:rPr>
      <w:b/>
      <w:bCs/>
    </w:rPr>
  </w:style>
  <w:style w:type="character" w:customStyle="1" w:styleId="CommentSubjectChar">
    <w:name w:val="Comment Subject Char"/>
    <w:basedOn w:val="CommentTextChar"/>
    <w:link w:val="CommentSubject"/>
    <w:uiPriority w:val="99"/>
    <w:semiHidden/>
    <w:rsid w:val="00D17BAE"/>
    <w:rPr>
      <w:b/>
      <w:bCs/>
      <w:sz w:val="20"/>
      <w:szCs w:val="20"/>
    </w:rPr>
  </w:style>
  <w:style w:type="character" w:customStyle="1" w:styleId="Heading3Char">
    <w:name w:val="Heading 3 Char"/>
    <w:basedOn w:val="DefaultParagraphFont"/>
    <w:link w:val="Heading3"/>
    <w:uiPriority w:val="9"/>
    <w:semiHidden/>
    <w:rsid w:val="00C86A2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8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9025">
      <w:bodyDiv w:val="1"/>
      <w:marLeft w:val="0"/>
      <w:marRight w:val="0"/>
      <w:marTop w:val="0"/>
      <w:marBottom w:val="0"/>
      <w:divBdr>
        <w:top w:val="none" w:sz="0" w:space="0" w:color="auto"/>
        <w:left w:val="none" w:sz="0" w:space="0" w:color="auto"/>
        <w:bottom w:val="none" w:sz="0" w:space="0" w:color="auto"/>
        <w:right w:val="none" w:sz="0" w:space="0" w:color="auto"/>
      </w:divBdr>
      <w:divsChild>
        <w:div w:id="194845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6868">
      <w:bodyDiv w:val="1"/>
      <w:marLeft w:val="0"/>
      <w:marRight w:val="0"/>
      <w:marTop w:val="0"/>
      <w:marBottom w:val="0"/>
      <w:divBdr>
        <w:top w:val="none" w:sz="0" w:space="0" w:color="auto"/>
        <w:left w:val="none" w:sz="0" w:space="0" w:color="auto"/>
        <w:bottom w:val="none" w:sz="0" w:space="0" w:color="auto"/>
        <w:right w:val="none" w:sz="0" w:space="0" w:color="auto"/>
      </w:divBdr>
      <w:divsChild>
        <w:div w:id="18993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lumina-intelligence.com/product/wholesale-online-report-2025/" TargetMode="External"/><Relationship Id="rId3" Type="http://schemas.openxmlformats.org/officeDocument/2006/relationships/settings" Target="settings.xml"/><Relationship Id="rId7" Type="http://schemas.openxmlformats.org/officeDocument/2006/relationships/hyperlink" Target="https://store.lumina-intelligence.com/product/wholesale-online-report-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Jankowski</dc:creator>
  <cp:keywords/>
  <dc:description/>
  <cp:lastModifiedBy>Monica Rico Castrillo</cp:lastModifiedBy>
  <cp:revision>3</cp:revision>
  <dcterms:created xsi:type="dcterms:W3CDTF">2025-10-27T11:02:00Z</dcterms:created>
  <dcterms:modified xsi:type="dcterms:W3CDTF">2025-10-27T14:49:00Z</dcterms:modified>
</cp:coreProperties>
</file>