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7822" w14:textId="19B7A20F" w:rsidR="00ED3ABD" w:rsidRPr="00550B08" w:rsidRDefault="007221DF" w:rsidP="00ED3ABD">
      <w:pPr>
        <w:rPr>
          <w:rFonts w:ascii="Arial" w:hAnsi="Arial" w:cs="Arial"/>
          <w:b/>
          <w:bCs/>
          <w:color w:val="505050"/>
          <w:sz w:val="18"/>
          <w:szCs w:val="18"/>
        </w:rPr>
      </w:pPr>
      <w:r w:rsidRPr="00550B08">
        <w:rPr>
          <w:rFonts w:ascii="Arial" w:hAnsi="Arial" w:cs="Arial"/>
          <w:b/>
          <w:bCs/>
          <w:noProof/>
          <w:color w:val="505050"/>
          <w:sz w:val="18"/>
          <w:szCs w:val="18"/>
        </w:rPr>
        <w:drawing>
          <wp:anchor distT="0" distB="0" distL="114300" distR="114300" simplePos="0" relativeHeight="251658240" behindDoc="1" locked="0" layoutInCell="1" allowOverlap="1" wp14:anchorId="49377F67" wp14:editId="1DF5C168">
            <wp:simplePos x="0" y="0"/>
            <wp:positionH relativeFrom="margin">
              <wp:posOffset>4389120</wp:posOffset>
            </wp:positionH>
            <wp:positionV relativeFrom="paragraph">
              <wp:posOffset>9525</wp:posOffset>
            </wp:positionV>
            <wp:extent cx="1287145" cy="626110"/>
            <wp:effectExtent l="0" t="0" r="8255" b="2540"/>
            <wp:wrapTight wrapText="bothSides">
              <wp:wrapPolygon edited="0">
                <wp:start x="0" y="0"/>
                <wp:lineTo x="0" y="20373"/>
                <wp:lineTo x="7353" y="21030"/>
                <wp:lineTo x="9910" y="21030"/>
                <wp:lineTo x="21419" y="19716"/>
                <wp:lineTo x="21419" y="1314"/>
                <wp:lineTo x="140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7145" cy="626110"/>
                    </a:xfrm>
                    <a:prstGeom prst="rect">
                      <a:avLst/>
                    </a:prstGeom>
                  </pic:spPr>
                </pic:pic>
              </a:graphicData>
            </a:graphic>
            <wp14:sizeRelH relativeFrom="margin">
              <wp14:pctWidth>0</wp14:pctWidth>
            </wp14:sizeRelH>
            <wp14:sizeRelV relativeFrom="margin">
              <wp14:pctHeight>0</wp14:pctHeight>
            </wp14:sizeRelV>
          </wp:anchor>
        </w:drawing>
      </w:r>
      <w:r w:rsidR="00ED3ABD" w:rsidRPr="00550B08">
        <w:rPr>
          <w:rFonts w:ascii="Arial" w:hAnsi="Arial" w:cs="Arial"/>
          <w:b/>
          <w:bCs/>
          <w:color w:val="505050"/>
          <w:sz w:val="18"/>
          <w:szCs w:val="18"/>
        </w:rPr>
        <w:t>CONTACT INFORMATION:</w:t>
      </w:r>
    </w:p>
    <w:p w14:paraId="0532A99E" w14:textId="63178E36" w:rsidR="00ED3ABD" w:rsidRPr="00550B08" w:rsidRDefault="00ED3ABD" w:rsidP="00ED3ABD">
      <w:pPr>
        <w:spacing w:after="0" w:line="240" w:lineRule="auto"/>
        <w:rPr>
          <w:rFonts w:ascii="Arial" w:hAnsi="Arial" w:cs="Arial"/>
          <w:b/>
          <w:bCs/>
          <w:color w:val="505050"/>
          <w:sz w:val="18"/>
          <w:szCs w:val="18"/>
        </w:rPr>
      </w:pPr>
      <w:r w:rsidRPr="00550B08">
        <w:rPr>
          <w:rFonts w:ascii="Arial" w:hAnsi="Arial" w:cs="Arial"/>
          <w:b/>
          <w:bCs/>
          <w:color w:val="505050"/>
          <w:sz w:val="18"/>
          <w:szCs w:val="18"/>
        </w:rPr>
        <w:t>Lumina Intelligence</w:t>
      </w:r>
    </w:p>
    <w:p w14:paraId="32951546" w14:textId="3687D4F4" w:rsidR="00ED3ABD" w:rsidRPr="00550B08" w:rsidRDefault="001B2C2A" w:rsidP="00ED3ABD">
      <w:pPr>
        <w:spacing w:after="0" w:line="240" w:lineRule="auto"/>
        <w:rPr>
          <w:rFonts w:ascii="Arial" w:hAnsi="Arial" w:cs="Arial"/>
          <w:b/>
          <w:bCs/>
          <w:color w:val="505050"/>
          <w:sz w:val="18"/>
          <w:szCs w:val="18"/>
        </w:rPr>
      </w:pPr>
      <w:r>
        <w:rPr>
          <w:rFonts w:ascii="Arial" w:hAnsi="Arial" w:cs="Arial"/>
          <w:b/>
          <w:bCs/>
          <w:color w:val="505050"/>
          <w:sz w:val="18"/>
          <w:szCs w:val="18"/>
        </w:rPr>
        <w:t>Monica Rico</w:t>
      </w:r>
    </w:p>
    <w:p w14:paraId="553A8214" w14:textId="004D0D6A" w:rsidR="00ED3ABD" w:rsidRPr="00550B08" w:rsidRDefault="001B2C2A" w:rsidP="00ED3ABD">
      <w:pPr>
        <w:spacing w:after="0" w:line="240" w:lineRule="auto"/>
        <w:rPr>
          <w:rFonts w:ascii="Arial" w:hAnsi="Arial" w:cs="Arial"/>
          <w:b/>
          <w:bCs/>
          <w:color w:val="505050"/>
          <w:sz w:val="18"/>
          <w:szCs w:val="18"/>
        </w:rPr>
      </w:pPr>
      <w:r>
        <w:rPr>
          <w:rFonts w:ascii="Arial" w:hAnsi="Arial" w:cs="Arial"/>
          <w:b/>
          <w:bCs/>
          <w:color w:val="505050"/>
          <w:sz w:val="18"/>
          <w:szCs w:val="18"/>
        </w:rPr>
        <w:t>07423555808</w:t>
      </w:r>
    </w:p>
    <w:p w14:paraId="452AC616" w14:textId="317D67E0" w:rsidR="00ED3ABD" w:rsidRPr="00550B08" w:rsidRDefault="001B2C2A" w:rsidP="00ED3ABD">
      <w:pPr>
        <w:spacing w:after="0" w:line="240" w:lineRule="auto"/>
        <w:rPr>
          <w:rStyle w:val="Hyperlink"/>
          <w:rFonts w:ascii="Arial" w:hAnsi="Arial" w:cs="Arial"/>
          <w:color w:val="505050"/>
          <w:sz w:val="18"/>
          <w:szCs w:val="18"/>
        </w:rPr>
      </w:pPr>
      <w:hyperlink r:id="rId6" w:history="1">
        <w:r w:rsidRPr="0075254E">
          <w:rPr>
            <w:rStyle w:val="Hyperlink"/>
            <w:rFonts w:ascii="Arial" w:hAnsi="Arial" w:cs="Arial"/>
            <w:b/>
            <w:bCs/>
            <w:sz w:val="18"/>
            <w:szCs w:val="18"/>
          </w:rPr>
          <w:t>monica.ricocastrillo@lumina-intelligence.com</w:t>
        </w:r>
      </w:hyperlink>
      <w:r>
        <w:rPr>
          <w:rFonts w:ascii="Arial" w:hAnsi="Arial" w:cs="Arial"/>
          <w:b/>
          <w:bCs/>
          <w:sz w:val="18"/>
          <w:szCs w:val="18"/>
        </w:rPr>
        <w:tab/>
      </w:r>
    </w:p>
    <w:p w14:paraId="1D64BCA5" w14:textId="3CA5B9DE" w:rsidR="003C4BB2" w:rsidRPr="00550B08" w:rsidRDefault="003C4BB2" w:rsidP="00ED3ABD">
      <w:pPr>
        <w:spacing w:after="0" w:line="240" w:lineRule="auto"/>
        <w:rPr>
          <w:rStyle w:val="Hyperlink"/>
          <w:rFonts w:ascii="Arial" w:hAnsi="Arial" w:cs="Arial"/>
          <w:color w:val="505050"/>
          <w:sz w:val="18"/>
          <w:szCs w:val="18"/>
        </w:rPr>
      </w:pPr>
    </w:p>
    <w:p w14:paraId="21BA4789" w14:textId="70ACD685" w:rsidR="00ED3ABD" w:rsidRPr="00550B08" w:rsidRDefault="007A270E" w:rsidP="003C4BB2">
      <w:pPr>
        <w:spacing w:after="0" w:line="240" w:lineRule="auto"/>
        <w:rPr>
          <w:rStyle w:val="Hyperlink"/>
          <w:rFonts w:ascii="Arial" w:hAnsi="Arial" w:cs="Arial"/>
          <w:b/>
          <w:bCs/>
          <w:color w:val="505050"/>
          <w:sz w:val="18"/>
          <w:szCs w:val="18"/>
          <w:u w:val="none"/>
        </w:rPr>
      </w:pPr>
      <w:r>
        <w:rPr>
          <w:rStyle w:val="Hyperlink"/>
          <w:rFonts w:ascii="Arial" w:hAnsi="Arial" w:cs="Arial"/>
          <w:b/>
          <w:bCs/>
          <w:color w:val="505050"/>
          <w:sz w:val="18"/>
          <w:szCs w:val="18"/>
          <w:u w:val="none"/>
        </w:rPr>
        <w:t>30</w:t>
      </w:r>
      <w:r w:rsidR="00A2582F">
        <w:rPr>
          <w:rStyle w:val="Hyperlink"/>
          <w:rFonts w:ascii="Arial" w:hAnsi="Arial" w:cs="Arial"/>
          <w:b/>
          <w:bCs/>
          <w:color w:val="505050"/>
          <w:sz w:val="18"/>
          <w:szCs w:val="18"/>
          <w:u w:val="none"/>
        </w:rPr>
        <w:t xml:space="preserve"> </w:t>
      </w:r>
      <w:r>
        <w:rPr>
          <w:rStyle w:val="Hyperlink"/>
          <w:rFonts w:ascii="Arial" w:hAnsi="Arial" w:cs="Arial"/>
          <w:b/>
          <w:bCs/>
          <w:color w:val="505050"/>
          <w:sz w:val="18"/>
          <w:szCs w:val="18"/>
          <w:u w:val="none"/>
        </w:rPr>
        <w:t>October</w:t>
      </w:r>
      <w:r w:rsidR="00A2582F">
        <w:rPr>
          <w:rStyle w:val="Hyperlink"/>
          <w:rFonts w:ascii="Arial" w:hAnsi="Arial" w:cs="Arial"/>
          <w:b/>
          <w:bCs/>
          <w:color w:val="505050"/>
          <w:sz w:val="18"/>
          <w:szCs w:val="18"/>
          <w:u w:val="none"/>
        </w:rPr>
        <w:t xml:space="preserve"> 2025</w:t>
      </w:r>
    </w:p>
    <w:p w14:paraId="74BC0C7C" w14:textId="77777777" w:rsidR="009400D0" w:rsidRPr="009400D0" w:rsidRDefault="009400D0" w:rsidP="009400D0">
      <w:pPr>
        <w:rPr>
          <w:rFonts w:ascii="Arial" w:hAnsi="Arial" w:cs="Arial"/>
          <w:b/>
          <w:bCs/>
          <w:sz w:val="32"/>
          <w:szCs w:val="32"/>
        </w:rPr>
      </w:pPr>
    </w:p>
    <w:p w14:paraId="156B941E" w14:textId="3B362A00" w:rsidR="00C73550" w:rsidRDefault="007A270E" w:rsidP="00A2582F">
      <w:pPr>
        <w:rPr>
          <w:rFonts w:ascii="Arial" w:hAnsi="Arial" w:cs="Arial"/>
          <w:b/>
          <w:bCs/>
          <w:sz w:val="20"/>
          <w:szCs w:val="20"/>
        </w:rPr>
      </w:pPr>
      <w:r w:rsidRPr="007A270E">
        <w:rPr>
          <w:rFonts w:ascii="Arial" w:hAnsi="Arial" w:cs="Arial"/>
          <w:b/>
          <w:bCs/>
          <w:sz w:val="28"/>
          <w:szCs w:val="28"/>
        </w:rPr>
        <w:t>Healthier Choices and Family Convenience Drive Growth in the UK Convenience Channel</w:t>
      </w:r>
    </w:p>
    <w:p w14:paraId="16F13E03" w14:textId="2049C7E4" w:rsidR="007A270E" w:rsidRPr="007A270E" w:rsidRDefault="007A270E" w:rsidP="007A270E">
      <w:pPr>
        <w:rPr>
          <w:rFonts w:ascii="Arial" w:hAnsi="Arial" w:cs="Arial"/>
          <w:sz w:val="20"/>
          <w:szCs w:val="20"/>
        </w:rPr>
      </w:pPr>
      <w:r w:rsidRPr="007A270E">
        <w:rPr>
          <w:rFonts w:ascii="Arial" w:hAnsi="Arial" w:cs="Arial"/>
          <w:sz w:val="20"/>
          <w:szCs w:val="20"/>
        </w:rPr>
        <w:t xml:space="preserve">New data from </w:t>
      </w:r>
      <w:r>
        <w:rPr>
          <w:rFonts w:ascii="Arial" w:hAnsi="Arial" w:cs="Arial"/>
          <w:sz w:val="20"/>
          <w:szCs w:val="20"/>
        </w:rPr>
        <w:t>Lumina Intelligence’s</w:t>
      </w:r>
      <w:r w:rsidRPr="007A270E">
        <w:rPr>
          <w:rFonts w:ascii="Arial" w:hAnsi="Arial" w:cs="Arial"/>
          <w:sz w:val="20"/>
          <w:szCs w:val="20"/>
        </w:rPr>
        <w:t xml:space="preserve"> </w:t>
      </w:r>
      <w:hyperlink r:id="rId7" w:history="1">
        <w:r w:rsidR="00A2582F" w:rsidRPr="00A2582F">
          <w:rPr>
            <w:rStyle w:val="Hyperlink"/>
            <w:rFonts w:ascii="Arial" w:hAnsi="Arial" w:cs="Arial"/>
            <w:sz w:val="20"/>
            <w:szCs w:val="20"/>
          </w:rPr>
          <w:t>Convenience Tracking Programme</w:t>
        </w:r>
      </w:hyperlink>
      <w:r w:rsidR="00FD155C" w:rsidRPr="00FD155C">
        <w:rPr>
          <w:rFonts w:ascii="Arial" w:hAnsi="Arial" w:cs="Arial"/>
          <w:sz w:val="20"/>
          <w:szCs w:val="20"/>
        </w:rPr>
        <w:t xml:space="preserve"> </w:t>
      </w:r>
      <w:r w:rsidRPr="007A270E">
        <w:rPr>
          <w:rFonts w:ascii="Arial" w:hAnsi="Arial" w:cs="Arial"/>
          <w:sz w:val="20"/>
          <w:szCs w:val="20"/>
        </w:rPr>
        <w:t>reveals that UK convenience shoppers increasingly prioritised health, freshness, and convenience over the summer months, with shifting behaviour patterns highlighting emerging opportunities for retailers and brands.</w:t>
      </w:r>
    </w:p>
    <w:p w14:paraId="129888F8" w14:textId="77777777" w:rsidR="007A270E" w:rsidRPr="007A270E" w:rsidRDefault="007A270E" w:rsidP="007A270E">
      <w:pPr>
        <w:rPr>
          <w:rFonts w:ascii="Arial" w:hAnsi="Arial" w:cs="Arial"/>
          <w:b/>
          <w:bCs/>
          <w:sz w:val="20"/>
          <w:szCs w:val="20"/>
        </w:rPr>
      </w:pPr>
      <w:r w:rsidRPr="007A270E">
        <w:rPr>
          <w:rFonts w:ascii="Arial" w:hAnsi="Arial" w:cs="Arial"/>
          <w:b/>
          <w:bCs/>
          <w:sz w:val="20"/>
          <w:szCs w:val="20"/>
        </w:rPr>
        <w:t>Shoppers Seek Healthier, Fresher Options</w:t>
      </w:r>
    </w:p>
    <w:p w14:paraId="00CB4A72" w14:textId="77777777" w:rsidR="007A270E" w:rsidRPr="007A270E" w:rsidRDefault="007A270E" w:rsidP="007A270E">
      <w:pPr>
        <w:rPr>
          <w:rFonts w:ascii="Arial" w:hAnsi="Arial" w:cs="Arial"/>
          <w:sz w:val="20"/>
          <w:szCs w:val="20"/>
        </w:rPr>
      </w:pPr>
      <w:r w:rsidRPr="007A270E">
        <w:rPr>
          <w:rFonts w:ascii="Arial" w:hAnsi="Arial" w:cs="Arial"/>
          <w:sz w:val="20"/>
          <w:szCs w:val="20"/>
        </w:rPr>
        <w:t>Health and wellness trends continued to strengthen through the summer, with pure fruit juices and nuts and dried fruit seeing the largest gains in share of consumption occasions. The data indicates that health and freshness considerations peaked during this period, as shoppers actively sought better-for-you drinks and snacks.</w:t>
      </w:r>
    </w:p>
    <w:p w14:paraId="11F39B4F" w14:textId="033EDECB" w:rsidR="007A270E" w:rsidRPr="007A270E" w:rsidRDefault="007A270E" w:rsidP="007A270E">
      <w:pPr>
        <w:rPr>
          <w:rFonts w:ascii="Arial" w:hAnsi="Arial" w:cs="Arial"/>
          <w:sz w:val="20"/>
          <w:szCs w:val="20"/>
        </w:rPr>
      </w:pPr>
      <w:r w:rsidRPr="007A270E">
        <w:rPr>
          <w:rFonts w:ascii="Arial" w:hAnsi="Arial" w:cs="Arial"/>
          <w:sz w:val="20"/>
          <w:szCs w:val="20"/>
        </w:rPr>
        <w:t xml:space="preserve">“Consumers are increasingly making mindful choices, even in impulse channels,” said </w:t>
      </w:r>
      <w:r>
        <w:rPr>
          <w:rFonts w:ascii="Arial" w:hAnsi="Arial" w:cs="Arial"/>
          <w:sz w:val="20"/>
          <w:szCs w:val="20"/>
        </w:rPr>
        <w:t xml:space="preserve">Martina di Rocco, </w:t>
      </w:r>
      <w:r w:rsidR="00254A90">
        <w:rPr>
          <w:rFonts w:ascii="Arial" w:hAnsi="Arial" w:cs="Arial"/>
          <w:sz w:val="20"/>
          <w:szCs w:val="20"/>
        </w:rPr>
        <w:t xml:space="preserve">Senior </w:t>
      </w:r>
      <w:r>
        <w:rPr>
          <w:rFonts w:ascii="Arial" w:hAnsi="Arial" w:cs="Arial"/>
          <w:sz w:val="20"/>
          <w:szCs w:val="20"/>
        </w:rPr>
        <w:t xml:space="preserve">Insight Manager at Lumina Intelligence. </w:t>
      </w:r>
      <w:r w:rsidRPr="007A270E">
        <w:rPr>
          <w:rFonts w:ascii="Arial" w:hAnsi="Arial" w:cs="Arial"/>
          <w:sz w:val="20"/>
          <w:szCs w:val="20"/>
        </w:rPr>
        <w:t>“The preference for natural, fresh, and wholesome products demonstrates how the definition of convenience continues to evolve.”</w:t>
      </w:r>
    </w:p>
    <w:p w14:paraId="4999D967" w14:textId="77777777" w:rsidR="007A270E" w:rsidRPr="007A270E" w:rsidRDefault="007A270E" w:rsidP="007A270E">
      <w:pPr>
        <w:rPr>
          <w:rFonts w:ascii="Arial" w:hAnsi="Arial" w:cs="Arial"/>
          <w:b/>
          <w:bCs/>
          <w:sz w:val="20"/>
          <w:szCs w:val="20"/>
        </w:rPr>
      </w:pPr>
      <w:r w:rsidRPr="007A270E">
        <w:rPr>
          <w:rFonts w:ascii="Arial" w:hAnsi="Arial" w:cs="Arial"/>
          <w:b/>
          <w:bCs/>
          <w:sz w:val="20"/>
          <w:szCs w:val="20"/>
        </w:rPr>
        <w:t>Convenience Fuels Planned Top-Ups Among Young Families</w:t>
      </w:r>
    </w:p>
    <w:p w14:paraId="2E361022" w14:textId="089EC9E5" w:rsidR="007A270E" w:rsidRPr="007A270E" w:rsidRDefault="007A270E" w:rsidP="007A270E">
      <w:pPr>
        <w:rPr>
          <w:rFonts w:ascii="Arial" w:hAnsi="Arial" w:cs="Arial"/>
          <w:sz w:val="20"/>
          <w:szCs w:val="20"/>
        </w:rPr>
      </w:pPr>
      <w:r w:rsidRPr="007A270E">
        <w:rPr>
          <w:rFonts w:ascii="Arial" w:hAnsi="Arial" w:cs="Arial"/>
          <w:sz w:val="20"/>
          <w:szCs w:val="20"/>
        </w:rPr>
        <w:t xml:space="preserve">The </w:t>
      </w:r>
      <w:r w:rsidRPr="007A270E">
        <w:rPr>
          <w:rFonts w:ascii="Arial" w:hAnsi="Arial" w:cs="Arial"/>
          <w:i/>
          <w:iCs/>
          <w:sz w:val="20"/>
          <w:szCs w:val="20"/>
        </w:rPr>
        <w:t>Convenience Tracking Programme</w:t>
      </w:r>
      <w:r w:rsidRPr="007A270E">
        <w:rPr>
          <w:rFonts w:ascii="Arial" w:hAnsi="Arial" w:cs="Arial"/>
          <w:sz w:val="20"/>
          <w:szCs w:val="20"/>
        </w:rPr>
        <w:t xml:space="preserve"> also found that planned top-up missions gained strong momentum</w:t>
      </w:r>
      <w:r>
        <w:rPr>
          <w:rFonts w:ascii="Arial" w:hAnsi="Arial" w:cs="Arial"/>
          <w:sz w:val="20"/>
          <w:szCs w:val="20"/>
        </w:rPr>
        <w:t xml:space="preserve">, </w:t>
      </w:r>
      <w:r w:rsidRPr="007A270E">
        <w:rPr>
          <w:rFonts w:ascii="Arial" w:hAnsi="Arial" w:cs="Arial"/>
          <w:sz w:val="20"/>
          <w:szCs w:val="20"/>
        </w:rPr>
        <w:t>particularly among young families. Convenience was a key driver, with proximity to home or work shaping store choice. Additionally, delivery share in managed outlets reached a new high, highlighting how retailers are meeting the needs of time-pressed households through both physical and digital channels.</w:t>
      </w:r>
    </w:p>
    <w:p w14:paraId="6B15C410" w14:textId="77777777" w:rsidR="007A270E" w:rsidRPr="007A270E" w:rsidRDefault="007A270E" w:rsidP="007A270E">
      <w:pPr>
        <w:rPr>
          <w:rFonts w:ascii="Arial" w:hAnsi="Arial" w:cs="Arial"/>
          <w:b/>
          <w:bCs/>
          <w:sz w:val="20"/>
          <w:szCs w:val="20"/>
        </w:rPr>
      </w:pPr>
      <w:r w:rsidRPr="007A270E">
        <w:rPr>
          <w:rFonts w:ascii="Arial" w:hAnsi="Arial" w:cs="Arial"/>
          <w:b/>
          <w:bCs/>
          <w:sz w:val="20"/>
          <w:szCs w:val="20"/>
        </w:rPr>
        <w:t>Price-Marked Packs Surge Despite Softer Promotions</w:t>
      </w:r>
    </w:p>
    <w:p w14:paraId="2F00E1B3" w14:textId="120E98AB" w:rsidR="00FD155C" w:rsidRPr="007A270E" w:rsidRDefault="007A270E" w:rsidP="00FD155C">
      <w:pPr>
        <w:rPr>
          <w:rFonts w:ascii="Arial" w:hAnsi="Arial" w:cs="Arial"/>
          <w:sz w:val="20"/>
          <w:szCs w:val="20"/>
        </w:rPr>
      </w:pPr>
      <w:r w:rsidRPr="007A270E">
        <w:rPr>
          <w:rFonts w:ascii="Arial" w:hAnsi="Arial" w:cs="Arial"/>
          <w:sz w:val="20"/>
          <w:szCs w:val="20"/>
        </w:rPr>
        <w:t>While overall promotional activity eased during the third quarter, more than half of convenience shoppers purchased a price-marked pack (PMP). PMP sales grew across most channels, with Forecourts hitting record levels, driven primarily by soft drinks and chilled foods.</w:t>
      </w:r>
    </w:p>
    <w:p w14:paraId="448C2DC2" w14:textId="77777777" w:rsidR="00FD155C" w:rsidRDefault="00FD155C" w:rsidP="00FD155C">
      <w:pPr>
        <w:rPr>
          <w:rFonts w:ascii="Arial" w:hAnsi="Arial" w:cs="Arial"/>
          <w:b/>
          <w:bCs/>
          <w:sz w:val="20"/>
          <w:szCs w:val="20"/>
        </w:rPr>
      </w:pPr>
    </w:p>
    <w:p w14:paraId="6B2EB4F8" w14:textId="4FDF4CA5" w:rsidR="00FD155C" w:rsidRPr="00FD155C" w:rsidRDefault="00FD155C" w:rsidP="00FD155C">
      <w:pPr>
        <w:rPr>
          <w:rFonts w:ascii="Arial" w:hAnsi="Arial" w:cs="Arial"/>
          <w:sz w:val="20"/>
          <w:szCs w:val="20"/>
        </w:rPr>
      </w:pPr>
      <w:r w:rsidRPr="00FD155C">
        <w:rPr>
          <w:rFonts w:ascii="Arial" w:hAnsi="Arial" w:cs="Arial"/>
          <w:b/>
          <w:bCs/>
          <w:sz w:val="20"/>
          <w:szCs w:val="20"/>
        </w:rPr>
        <w:t>ENDS</w:t>
      </w:r>
    </w:p>
    <w:p w14:paraId="2DC5233D" w14:textId="7EE5B200" w:rsidR="00ED3ABD" w:rsidRPr="00550B08" w:rsidRDefault="00ED3ABD">
      <w:pPr>
        <w:rPr>
          <w:rFonts w:ascii="Arial" w:hAnsi="Arial" w:cs="Arial"/>
          <w:sz w:val="20"/>
          <w:szCs w:val="20"/>
        </w:rPr>
      </w:pPr>
    </w:p>
    <w:p w14:paraId="305D5469" w14:textId="02543D37" w:rsidR="00550B08" w:rsidRPr="00550B08" w:rsidRDefault="0054575C">
      <w:pPr>
        <w:rPr>
          <w:rFonts w:ascii="Arial" w:hAnsi="Arial" w:cs="Arial"/>
          <w:b/>
          <w:bCs/>
          <w:sz w:val="20"/>
          <w:szCs w:val="20"/>
        </w:rPr>
      </w:pPr>
      <w:r>
        <w:rPr>
          <w:rFonts w:ascii="Arial" w:hAnsi="Arial" w:cs="Arial"/>
          <w:b/>
          <w:bCs/>
          <w:sz w:val="20"/>
          <w:szCs w:val="20"/>
        </w:rPr>
        <w:t>M</w:t>
      </w:r>
      <w:r w:rsidR="00550B08" w:rsidRPr="00550B08">
        <w:rPr>
          <w:rFonts w:ascii="Arial" w:hAnsi="Arial" w:cs="Arial"/>
          <w:b/>
          <w:bCs/>
          <w:sz w:val="20"/>
          <w:szCs w:val="20"/>
        </w:rPr>
        <w:t>ethodology</w:t>
      </w:r>
    </w:p>
    <w:p w14:paraId="53A1BCF9" w14:textId="716E818A" w:rsidR="00030F84" w:rsidRDefault="00030F84" w:rsidP="008154D9">
      <w:pPr>
        <w:rPr>
          <w:rFonts w:ascii="Arial" w:hAnsi="Arial" w:cs="Arial"/>
          <w:sz w:val="20"/>
          <w:szCs w:val="20"/>
        </w:rPr>
      </w:pPr>
      <w:r>
        <w:rPr>
          <w:rFonts w:ascii="Arial" w:hAnsi="Arial" w:cs="Arial"/>
          <w:sz w:val="20"/>
          <w:szCs w:val="20"/>
        </w:rPr>
        <w:t xml:space="preserve">The </w:t>
      </w:r>
      <w:hyperlink r:id="rId8" w:history="1">
        <w:r w:rsidRPr="00537340">
          <w:rPr>
            <w:rStyle w:val="Hyperlink"/>
            <w:rFonts w:ascii="Arial" w:hAnsi="Arial" w:cs="Arial"/>
            <w:sz w:val="20"/>
            <w:szCs w:val="20"/>
          </w:rPr>
          <w:t xml:space="preserve">Lumina Intelligence </w:t>
        </w:r>
        <w:r w:rsidR="0054575C" w:rsidRPr="00537340">
          <w:rPr>
            <w:rStyle w:val="Hyperlink"/>
            <w:rFonts w:ascii="Arial" w:hAnsi="Arial" w:cs="Arial"/>
            <w:sz w:val="20"/>
            <w:szCs w:val="20"/>
          </w:rPr>
          <w:t xml:space="preserve">Convenience </w:t>
        </w:r>
        <w:r w:rsidR="00897CB3" w:rsidRPr="00537340">
          <w:rPr>
            <w:rStyle w:val="Hyperlink"/>
            <w:rFonts w:ascii="Arial" w:hAnsi="Arial" w:cs="Arial"/>
            <w:sz w:val="20"/>
            <w:szCs w:val="20"/>
          </w:rPr>
          <w:t>Tracking</w:t>
        </w:r>
        <w:r w:rsidR="0054575C" w:rsidRPr="00537340">
          <w:rPr>
            <w:rStyle w:val="Hyperlink"/>
            <w:rFonts w:ascii="Arial" w:hAnsi="Arial" w:cs="Arial"/>
            <w:sz w:val="20"/>
            <w:szCs w:val="20"/>
          </w:rPr>
          <w:t xml:space="preserve"> </w:t>
        </w:r>
        <w:r w:rsidR="00537340" w:rsidRPr="00537340">
          <w:rPr>
            <w:rStyle w:val="Hyperlink"/>
            <w:rFonts w:ascii="Arial" w:hAnsi="Arial" w:cs="Arial"/>
            <w:sz w:val="20"/>
            <w:szCs w:val="20"/>
          </w:rPr>
          <w:t>P</w:t>
        </w:r>
        <w:r w:rsidR="0054575C" w:rsidRPr="00537340">
          <w:rPr>
            <w:rStyle w:val="Hyperlink"/>
            <w:rFonts w:ascii="Arial" w:hAnsi="Arial" w:cs="Arial"/>
            <w:sz w:val="20"/>
            <w:szCs w:val="20"/>
          </w:rPr>
          <w:t>rogramme</w:t>
        </w:r>
      </w:hyperlink>
      <w:r w:rsidR="0054575C">
        <w:rPr>
          <w:rFonts w:ascii="Arial" w:hAnsi="Arial" w:cs="Arial"/>
          <w:sz w:val="20"/>
          <w:szCs w:val="20"/>
        </w:rPr>
        <w:t xml:space="preserve"> covers 50,000 online surveys a year across a nationally representative sample of shoppers in convenience. It covers the total convenience market including symbols, independents and managed convenience helping category, insight and sales teams </w:t>
      </w:r>
      <w:r w:rsidR="00897CB3">
        <w:rPr>
          <w:rFonts w:ascii="Arial" w:hAnsi="Arial" w:cs="Arial"/>
          <w:sz w:val="20"/>
          <w:szCs w:val="20"/>
        </w:rPr>
        <w:t xml:space="preserve">have a consistent, in-depth understanding of the shopper. </w:t>
      </w:r>
    </w:p>
    <w:p w14:paraId="3616E721" w14:textId="77777777" w:rsidR="005460CE" w:rsidRPr="005460CE" w:rsidRDefault="005460CE" w:rsidP="005460CE">
      <w:pPr>
        <w:rPr>
          <w:rFonts w:ascii="Arial" w:hAnsi="Arial" w:cs="Arial"/>
          <w:b/>
          <w:bCs/>
          <w:sz w:val="20"/>
          <w:szCs w:val="20"/>
        </w:rPr>
      </w:pPr>
    </w:p>
    <w:p w14:paraId="27ADB60B" w14:textId="77777777" w:rsidR="005460CE" w:rsidRPr="005460CE" w:rsidRDefault="005460CE" w:rsidP="005460CE">
      <w:pPr>
        <w:rPr>
          <w:rFonts w:ascii="Arial" w:hAnsi="Arial" w:cs="Arial"/>
          <w:b/>
          <w:bCs/>
          <w:sz w:val="20"/>
          <w:szCs w:val="20"/>
        </w:rPr>
      </w:pPr>
      <w:r w:rsidRPr="005460CE">
        <w:rPr>
          <w:rFonts w:ascii="Arial" w:hAnsi="Arial" w:cs="Arial"/>
          <w:b/>
          <w:bCs/>
          <w:sz w:val="20"/>
          <w:szCs w:val="20"/>
        </w:rPr>
        <w:t>Who We Are:</w:t>
      </w:r>
    </w:p>
    <w:p w14:paraId="4E2D8615" w14:textId="77777777" w:rsidR="005460CE" w:rsidRPr="005460CE" w:rsidRDefault="005460CE" w:rsidP="005460CE">
      <w:pPr>
        <w:rPr>
          <w:rFonts w:ascii="Arial" w:hAnsi="Arial" w:cs="Arial"/>
          <w:sz w:val="20"/>
          <w:szCs w:val="20"/>
        </w:rPr>
      </w:pPr>
      <w:hyperlink r:id="rId9" w:history="1">
        <w:r w:rsidRPr="005460CE">
          <w:rPr>
            <w:rStyle w:val="Hyperlink"/>
            <w:rFonts w:ascii="Arial" w:hAnsi="Arial" w:cs="Arial"/>
            <w:sz w:val="20"/>
            <w:szCs w:val="20"/>
          </w:rPr>
          <w:t>Lumina Intelligence</w:t>
        </w:r>
      </w:hyperlink>
      <w:r w:rsidRPr="005460CE">
        <w:rPr>
          <w:rFonts w:ascii="Arial" w:hAnsi="Arial" w:cs="Arial"/>
          <w:sz w:val="20"/>
          <w:szCs w:val="20"/>
        </w:rPr>
        <w:t xml:space="preserve"> helps food and drink brands understand their consumers and markets - so they can grow faster, plan smarter, and make better commercial decisions.</w:t>
      </w:r>
    </w:p>
    <w:p w14:paraId="437DB569" w14:textId="77777777" w:rsidR="005460CE" w:rsidRPr="005460CE" w:rsidRDefault="005460CE" w:rsidP="005460CE">
      <w:pPr>
        <w:rPr>
          <w:rFonts w:ascii="Arial" w:hAnsi="Arial" w:cs="Arial"/>
          <w:sz w:val="20"/>
          <w:szCs w:val="20"/>
        </w:rPr>
      </w:pPr>
      <w:r w:rsidRPr="005460CE">
        <w:rPr>
          <w:rFonts w:ascii="Arial" w:hAnsi="Arial" w:cs="Arial"/>
          <w:sz w:val="20"/>
          <w:szCs w:val="20"/>
        </w:rPr>
        <w:lastRenderedPageBreak/>
        <w:t>We specialise in insight for grocery retail and hospitality, combining trusted data with expert analysis to support your commercial, category, and insight teams.</w:t>
      </w:r>
    </w:p>
    <w:p w14:paraId="48A5588F" w14:textId="77777777" w:rsidR="005460CE" w:rsidRPr="005460CE" w:rsidRDefault="005460CE" w:rsidP="005460CE">
      <w:pPr>
        <w:rPr>
          <w:rFonts w:ascii="Arial" w:hAnsi="Arial" w:cs="Arial"/>
          <w:sz w:val="20"/>
          <w:szCs w:val="20"/>
        </w:rPr>
      </w:pPr>
      <w:hyperlink r:id="rId10" w:history="1">
        <w:r w:rsidRPr="005460CE">
          <w:rPr>
            <w:rStyle w:val="Hyperlink"/>
            <w:rFonts w:ascii="Arial" w:hAnsi="Arial" w:cs="Arial"/>
            <w:sz w:val="20"/>
            <w:szCs w:val="20"/>
          </w:rPr>
          <w:t>https://www.lumina-intelligence.com/</w:t>
        </w:r>
      </w:hyperlink>
      <w:r w:rsidRPr="005460CE">
        <w:rPr>
          <w:rFonts w:ascii="Arial" w:hAnsi="Arial" w:cs="Arial"/>
          <w:sz w:val="20"/>
          <w:szCs w:val="20"/>
        </w:rPr>
        <w:t xml:space="preserve"> </w:t>
      </w:r>
    </w:p>
    <w:p w14:paraId="7EB7B16A" w14:textId="77777777" w:rsidR="00113451" w:rsidRPr="00550B08" w:rsidRDefault="00113451">
      <w:pPr>
        <w:rPr>
          <w:rFonts w:ascii="Arial" w:hAnsi="Arial" w:cs="Arial"/>
          <w:sz w:val="20"/>
          <w:szCs w:val="20"/>
        </w:rPr>
      </w:pPr>
    </w:p>
    <w:sectPr w:rsidR="00113451" w:rsidRPr="00550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35B"/>
    <w:multiLevelType w:val="hybridMultilevel"/>
    <w:tmpl w:val="6AAEF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DA5ECB"/>
    <w:multiLevelType w:val="hybridMultilevel"/>
    <w:tmpl w:val="BBA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E41A2B"/>
    <w:multiLevelType w:val="hybridMultilevel"/>
    <w:tmpl w:val="36AC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B449F"/>
    <w:multiLevelType w:val="hybridMultilevel"/>
    <w:tmpl w:val="D530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B7C1F"/>
    <w:multiLevelType w:val="hybridMultilevel"/>
    <w:tmpl w:val="D9FC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84E56"/>
    <w:multiLevelType w:val="hybridMultilevel"/>
    <w:tmpl w:val="5A46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E268D"/>
    <w:multiLevelType w:val="hybridMultilevel"/>
    <w:tmpl w:val="CEB8F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60506"/>
    <w:multiLevelType w:val="hybridMultilevel"/>
    <w:tmpl w:val="EE16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C1E00"/>
    <w:multiLevelType w:val="hybridMultilevel"/>
    <w:tmpl w:val="E7D6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035068">
    <w:abstractNumId w:val="7"/>
  </w:num>
  <w:num w:numId="2" w16cid:durableId="1735852765">
    <w:abstractNumId w:val="3"/>
  </w:num>
  <w:num w:numId="3" w16cid:durableId="161552042">
    <w:abstractNumId w:val="8"/>
  </w:num>
  <w:num w:numId="4" w16cid:durableId="877665447">
    <w:abstractNumId w:val="5"/>
  </w:num>
  <w:num w:numId="5" w16cid:durableId="495808842">
    <w:abstractNumId w:val="2"/>
  </w:num>
  <w:num w:numId="6" w16cid:durableId="642929762">
    <w:abstractNumId w:val="6"/>
  </w:num>
  <w:num w:numId="7" w16cid:durableId="653607717">
    <w:abstractNumId w:val="4"/>
  </w:num>
  <w:num w:numId="8" w16cid:durableId="2037461658">
    <w:abstractNumId w:val="1"/>
  </w:num>
  <w:num w:numId="9" w16cid:durableId="54664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8A"/>
    <w:rsid w:val="000306B9"/>
    <w:rsid w:val="00030F84"/>
    <w:rsid w:val="00056C0C"/>
    <w:rsid w:val="0006497F"/>
    <w:rsid w:val="00072404"/>
    <w:rsid w:val="000809E0"/>
    <w:rsid w:val="000F1972"/>
    <w:rsid w:val="00107613"/>
    <w:rsid w:val="00107E2B"/>
    <w:rsid w:val="00113451"/>
    <w:rsid w:val="00116246"/>
    <w:rsid w:val="001249C3"/>
    <w:rsid w:val="00134B6F"/>
    <w:rsid w:val="00195F54"/>
    <w:rsid w:val="001A3D4E"/>
    <w:rsid w:val="001B2C2A"/>
    <w:rsid w:val="001C50C1"/>
    <w:rsid w:val="001C5B98"/>
    <w:rsid w:val="001C65B6"/>
    <w:rsid w:val="001C7BF1"/>
    <w:rsid w:val="001D4D35"/>
    <w:rsid w:val="0020411A"/>
    <w:rsid w:val="00214D95"/>
    <w:rsid w:val="00216F72"/>
    <w:rsid w:val="00240CAC"/>
    <w:rsid w:val="00254A90"/>
    <w:rsid w:val="00261F91"/>
    <w:rsid w:val="00297C15"/>
    <w:rsid w:val="002A0166"/>
    <w:rsid w:val="002A0F0F"/>
    <w:rsid w:val="002E22C9"/>
    <w:rsid w:val="002E7454"/>
    <w:rsid w:val="002F089D"/>
    <w:rsid w:val="002F0BB4"/>
    <w:rsid w:val="002F7EAF"/>
    <w:rsid w:val="00302E10"/>
    <w:rsid w:val="00312F51"/>
    <w:rsid w:val="00356002"/>
    <w:rsid w:val="00363346"/>
    <w:rsid w:val="0036548B"/>
    <w:rsid w:val="0038460D"/>
    <w:rsid w:val="003C089C"/>
    <w:rsid w:val="003C4BB2"/>
    <w:rsid w:val="003E204B"/>
    <w:rsid w:val="003F3D7F"/>
    <w:rsid w:val="00414095"/>
    <w:rsid w:val="0041755B"/>
    <w:rsid w:val="0044412F"/>
    <w:rsid w:val="004B3902"/>
    <w:rsid w:val="004D23F6"/>
    <w:rsid w:val="004E551E"/>
    <w:rsid w:val="004F1FF8"/>
    <w:rsid w:val="00520307"/>
    <w:rsid w:val="00537340"/>
    <w:rsid w:val="0054575C"/>
    <w:rsid w:val="005460CE"/>
    <w:rsid w:val="00550B08"/>
    <w:rsid w:val="0055150D"/>
    <w:rsid w:val="00553497"/>
    <w:rsid w:val="00566CAE"/>
    <w:rsid w:val="005B7E51"/>
    <w:rsid w:val="005C3BD2"/>
    <w:rsid w:val="00604B4A"/>
    <w:rsid w:val="0061620B"/>
    <w:rsid w:val="00624D3B"/>
    <w:rsid w:val="0064772D"/>
    <w:rsid w:val="0065536E"/>
    <w:rsid w:val="006562DA"/>
    <w:rsid w:val="00664369"/>
    <w:rsid w:val="00664850"/>
    <w:rsid w:val="00673E64"/>
    <w:rsid w:val="00686860"/>
    <w:rsid w:val="00691E88"/>
    <w:rsid w:val="006D48BE"/>
    <w:rsid w:val="006E75AA"/>
    <w:rsid w:val="006E79FF"/>
    <w:rsid w:val="006F447C"/>
    <w:rsid w:val="00720ABB"/>
    <w:rsid w:val="007221DF"/>
    <w:rsid w:val="007229E3"/>
    <w:rsid w:val="00725D81"/>
    <w:rsid w:val="007337FD"/>
    <w:rsid w:val="007368CE"/>
    <w:rsid w:val="007402DC"/>
    <w:rsid w:val="007446FD"/>
    <w:rsid w:val="007451F1"/>
    <w:rsid w:val="00747CEC"/>
    <w:rsid w:val="00755025"/>
    <w:rsid w:val="0076037A"/>
    <w:rsid w:val="007854AB"/>
    <w:rsid w:val="007A270E"/>
    <w:rsid w:val="007A50F0"/>
    <w:rsid w:val="007C2AE1"/>
    <w:rsid w:val="007D197C"/>
    <w:rsid w:val="007F3C85"/>
    <w:rsid w:val="00813785"/>
    <w:rsid w:val="008154D9"/>
    <w:rsid w:val="008249B4"/>
    <w:rsid w:val="008276B8"/>
    <w:rsid w:val="00831A17"/>
    <w:rsid w:val="00846DDB"/>
    <w:rsid w:val="00862CCB"/>
    <w:rsid w:val="00882EC4"/>
    <w:rsid w:val="00894BA3"/>
    <w:rsid w:val="00897CB3"/>
    <w:rsid w:val="008A46AD"/>
    <w:rsid w:val="008C2F28"/>
    <w:rsid w:val="008D4655"/>
    <w:rsid w:val="008D5C4F"/>
    <w:rsid w:val="008E1A01"/>
    <w:rsid w:val="008E317A"/>
    <w:rsid w:val="008E5A63"/>
    <w:rsid w:val="009035F0"/>
    <w:rsid w:val="009073C5"/>
    <w:rsid w:val="0092365C"/>
    <w:rsid w:val="009400D0"/>
    <w:rsid w:val="00970A81"/>
    <w:rsid w:val="00997020"/>
    <w:rsid w:val="009A6775"/>
    <w:rsid w:val="009C3668"/>
    <w:rsid w:val="009C613A"/>
    <w:rsid w:val="009D1543"/>
    <w:rsid w:val="00A2410C"/>
    <w:rsid w:val="00A2582F"/>
    <w:rsid w:val="00A60D57"/>
    <w:rsid w:val="00A70FE3"/>
    <w:rsid w:val="00A90A13"/>
    <w:rsid w:val="00A935A1"/>
    <w:rsid w:val="00AA4D4A"/>
    <w:rsid w:val="00AD236E"/>
    <w:rsid w:val="00AE6B2F"/>
    <w:rsid w:val="00AF6BFF"/>
    <w:rsid w:val="00B06987"/>
    <w:rsid w:val="00B06B5C"/>
    <w:rsid w:val="00B154B6"/>
    <w:rsid w:val="00B414CE"/>
    <w:rsid w:val="00B46E6F"/>
    <w:rsid w:val="00B54F43"/>
    <w:rsid w:val="00B616DB"/>
    <w:rsid w:val="00B833AA"/>
    <w:rsid w:val="00BB4747"/>
    <w:rsid w:val="00C16ADB"/>
    <w:rsid w:val="00C176BD"/>
    <w:rsid w:val="00C270FD"/>
    <w:rsid w:val="00C30C1F"/>
    <w:rsid w:val="00C475B9"/>
    <w:rsid w:val="00C4785A"/>
    <w:rsid w:val="00C545F0"/>
    <w:rsid w:val="00C61FBF"/>
    <w:rsid w:val="00C73550"/>
    <w:rsid w:val="00C77C17"/>
    <w:rsid w:val="00C86028"/>
    <w:rsid w:val="00CA6670"/>
    <w:rsid w:val="00CC30CF"/>
    <w:rsid w:val="00CD419B"/>
    <w:rsid w:val="00CE6B8A"/>
    <w:rsid w:val="00D25202"/>
    <w:rsid w:val="00D308D1"/>
    <w:rsid w:val="00D7181B"/>
    <w:rsid w:val="00D856AA"/>
    <w:rsid w:val="00DB062C"/>
    <w:rsid w:val="00DD76E1"/>
    <w:rsid w:val="00E214AC"/>
    <w:rsid w:val="00E25B65"/>
    <w:rsid w:val="00E56A95"/>
    <w:rsid w:val="00E72427"/>
    <w:rsid w:val="00E734FF"/>
    <w:rsid w:val="00E800EF"/>
    <w:rsid w:val="00EA1B39"/>
    <w:rsid w:val="00ED2C5E"/>
    <w:rsid w:val="00ED3ABD"/>
    <w:rsid w:val="00EE28D1"/>
    <w:rsid w:val="00EF7048"/>
    <w:rsid w:val="00F10F0C"/>
    <w:rsid w:val="00F16921"/>
    <w:rsid w:val="00F20900"/>
    <w:rsid w:val="00F5102E"/>
    <w:rsid w:val="00F744AB"/>
    <w:rsid w:val="00F91FB9"/>
    <w:rsid w:val="00FB2C7F"/>
    <w:rsid w:val="00FC1A9F"/>
    <w:rsid w:val="00FD155C"/>
    <w:rsid w:val="00FE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0BE"/>
  <w15:chartTrackingRefBased/>
  <w15:docId w15:val="{DB18318A-1872-42BE-9CEA-53F63272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ABD"/>
    <w:rPr>
      <w:color w:val="0563C1" w:themeColor="hyperlink"/>
      <w:u w:val="single"/>
    </w:rPr>
  </w:style>
  <w:style w:type="character" w:styleId="UnresolvedMention">
    <w:name w:val="Unresolved Mention"/>
    <w:basedOn w:val="DefaultParagraphFont"/>
    <w:uiPriority w:val="99"/>
    <w:semiHidden/>
    <w:unhideWhenUsed/>
    <w:rsid w:val="00ED3ABD"/>
    <w:rPr>
      <w:color w:val="605E5C"/>
      <w:shd w:val="clear" w:color="auto" w:fill="E1DFDD"/>
    </w:rPr>
  </w:style>
  <w:style w:type="paragraph" w:styleId="BalloonText">
    <w:name w:val="Balloon Text"/>
    <w:basedOn w:val="Normal"/>
    <w:link w:val="BalloonTextChar"/>
    <w:uiPriority w:val="99"/>
    <w:semiHidden/>
    <w:unhideWhenUsed/>
    <w:rsid w:val="00846D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DDB"/>
    <w:rPr>
      <w:rFonts w:ascii="Segoe UI" w:hAnsi="Segoe UI" w:cs="Segoe UI"/>
      <w:sz w:val="18"/>
      <w:szCs w:val="18"/>
    </w:rPr>
  </w:style>
  <w:style w:type="paragraph" w:styleId="ListParagraph">
    <w:name w:val="List Paragraph"/>
    <w:basedOn w:val="Normal"/>
    <w:uiPriority w:val="34"/>
    <w:qFormat/>
    <w:rsid w:val="00550B08"/>
    <w:pPr>
      <w:ind w:left="720"/>
      <w:contextualSpacing/>
    </w:pPr>
  </w:style>
  <w:style w:type="character" w:styleId="CommentReference">
    <w:name w:val="annotation reference"/>
    <w:basedOn w:val="DefaultParagraphFont"/>
    <w:uiPriority w:val="99"/>
    <w:semiHidden/>
    <w:unhideWhenUsed/>
    <w:rsid w:val="0044412F"/>
    <w:rPr>
      <w:sz w:val="16"/>
      <w:szCs w:val="16"/>
    </w:rPr>
  </w:style>
  <w:style w:type="paragraph" w:styleId="CommentText">
    <w:name w:val="annotation text"/>
    <w:basedOn w:val="Normal"/>
    <w:link w:val="CommentTextChar"/>
    <w:uiPriority w:val="99"/>
    <w:unhideWhenUsed/>
    <w:rsid w:val="0044412F"/>
    <w:pPr>
      <w:spacing w:line="240" w:lineRule="auto"/>
    </w:pPr>
    <w:rPr>
      <w:sz w:val="20"/>
      <w:szCs w:val="20"/>
    </w:rPr>
  </w:style>
  <w:style w:type="character" w:customStyle="1" w:styleId="CommentTextChar">
    <w:name w:val="Comment Text Char"/>
    <w:basedOn w:val="DefaultParagraphFont"/>
    <w:link w:val="CommentText"/>
    <w:uiPriority w:val="99"/>
    <w:rsid w:val="0044412F"/>
    <w:rPr>
      <w:sz w:val="20"/>
      <w:szCs w:val="20"/>
    </w:rPr>
  </w:style>
  <w:style w:type="paragraph" w:styleId="CommentSubject">
    <w:name w:val="annotation subject"/>
    <w:basedOn w:val="CommentText"/>
    <w:next w:val="CommentText"/>
    <w:link w:val="CommentSubjectChar"/>
    <w:uiPriority w:val="99"/>
    <w:semiHidden/>
    <w:unhideWhenUsed/>
    <w:rsid w:val="0044412F"/>
    <w:rPr>
      <w:b/>
      <w:bCs/>
    </w:rPr>
  </w:style>
  <w:style w:type="character" w:customStyle="1" w:styleId="CommentSubjectChar">
    <w:name w:val="Comment Subject Char"/>
    <w:basedOn w:val="CommentTextChar"/>
    <w:link w:val="CommentSubject"/>
    <w:uiPriority w:val="99"/>
    <w:semiHidden/>
    <w:rsid w:val="0044412F"/>
    <w:rPr>
      <w:b/>
      <w:bCs/>
      <w:sz w:val="20"/>
      <w:szCs w:val="20"/>
    </w:rPr>
  </w:style>
  <w:style w:type="paragraph" w:styleId="Revision">
    <w:name w:val="Revision"/>
    <w:hidden/>
    <w:uiPriority w:val="99"/>
    <w:semiHidden/>
    <w:rsid w:val="008E1A01"/>
    <w:pPr>
      <w:spacing w:after="0" w:line="240" w:lineRule="auto"/>
    </w:pPr>
  </w:style>
  <w:style w:type="paragraph" w:customStyle="1" w:styleId="Default">
    <w:name w:val="Default"/>
    <w:rsid w:val="00AF6B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1310">
      <w:bodyDiv w:val="1"/>
      <w:marLeft w:val="0"/>
      <w:marRight w:val="0"/>
      <w:marTop w:val="0"/>
      <w:marBottom w:val="0"/>
      <w:divBdr>
        <w:top w:val="none" w:sz="0" w:space="0" w:color="auto"/>
        <w:left w:val="none" w:sz="0" w:space="0" w:color="auto"/>
        <w:bottom w:val="none" w:sz="0" w:space="0" w:color="auto"/>
        <w:right w:val="none" w:sz="0" w:space="0" w:color="auto"/>
      </w:divBdr>
    </w:div>
    <w:div w:id="254560542">
      <w:bodyDiv w:val="1"/>
      <w:marLeft w:val="0"/>
      <w:marRight w:val="0"/>
      <w:marTop w:val="0"/>
      <w:marBottom w:val="0"/>
      <w:divBdr>
        <w:top w:val="none" w:sz="0" w:space="0" w:color="auto"/>
        <w:left w:val="none" w:sz="0" w:space="0" w:color="auto"/>
        <w:bottom w:val="none" w:sz="0" w:space="0" w:color="auto"/>
        <w:right w:val="none" w:sz="0" w:space="0" w:color="auto"/>
      </w:divBdr>
    </w:div>
    <w:div w:id="466122099">
      <w:bodyDiv w:val="1"/>
      <w:marLeft w:val="0"/>
      <w:marRight w:val="0"/>
      <w:marTop w:val="0"/>
      <w:marBottom w:val="0"/>
      <w:divBdr>
        <w:top w:val="none" w:sz="0" w:space="0" w:color="auto"/>
        <w:left w:val="none" w:sz="0" w:space="0" w:color="auto"/>
        <w:bottom w:val="none" w:sz="0" w:space="0" w:color="auto"/>
        <w:right w:val="none" w:sz="0" w:space="0" w:color="auto"/>
      </w:divBdr>
    </w:div>
    <w:div w:id="691304994">
      <w:bodyDiv w:val="1"/>
      <w:marLeft w:val="0"/>
      <w:marRight w:val="0"/>
      <w:marTop w:val="0"/>
      <w:marBottom w:val="0"/>
      <w:divBdr>
        <w:top w:val="none" w:sz="0" w:space="0" w:color="auto"/>
        <w:left w:val="none" w:sz="0" w:space="0" w:color="auto"/>
        <w:bottom w:val="none" w:sz="0" w:space="0" w:color="auto"/>
        <w:right w:val="none" w:sz="0" w:space="0" w:color="auto"/>
      </w:divBdr>
    </w:div>
    <w:div w:id="1075083583">
      <w:bodyDiv w:val="1"/>
      <w:marLeft w:val="0"/>
      <w:marRight w:val="0"/>
      <w:marTop w:val="0"/>
      <w:marBottom w:val="0"/>
      <w:divBdr>
        <w:top w:val="none" w:sz="0" w:space="0" w:color="auto"/>
        <w:left w:val="none" w:sz="0" w:space="0" w:color="auto"/>
        <w:bottom w:val="none" w:sz="0" w:space="0" w:color="auto"/>
        <w:right w:val="none" w:sz="0" w:space="0" w:color="auto"/>
      </w:divBdr>
    </w:div>
    <w:div w:id="1198813265">
      <w:bodyDiv w:val="1"/>
      <w:marLeft w:val="0"/>
      <w:marRight w:val="0"/>
      <w:marTop w:val="0"/>
      <w:marBottom w:val="0"/>
      <w:divBdr>
        <w:top w:val="none" w:sz="0" w:space="0" w:color="auto"/>
        <w:left w:val="none" w:sz="0" w:space="0" w:color="auto"/>
        <w:bottom w:val="none" w:sz="0" w:space="0" w:color="auto"/>
        <w:right w:val="none" w:sz="0" w:space="0" w:color="auto"/>
      </w:divBdr>
    </w:div>
    <w:div w:id="1205168525">
      <w:bodyDiv w:val="1"/>
      <w:marLeft w:val="0"/>
      <w:marRight w:val="0"/>
      <w:marTop w:val="0"/>
      <w:marBottom w:val="0"/>
      <w:divBdr>
        <w:top w:val="none" w:sz="0" w:space="0" w:color="auto"/>
        <w:left w:val="none" w:sz="0" w:space="0" w:color="auto"/>
        <w:bottom w:val="none" w:sz="0" w:space="0" w:color="auto"/>
        <w:right w:val="none" w:sz="0" w:space="0" w:color="auto"/>
      </w:divBdr>
    </w:div>
    <w:div w:id="1318992845">
      <w:bodyDiv w:val="1"/>
      <w:marLeft w:val="0"/>
      <w:marRight w:val="0"/>
      <w:marTop w:val="0"/>
      <w:marBottom w:val="0"/>
      <w:divBdr>
        <w:top w:val="none" w:sz="0" w:space="0" w:color="auto"/>
        <w:left w:val="none" w:sz="0" w:space="0" w:color="auto"/>
        <w:bottom w:val="none" w:sz="0" w:space="0" w:color="auto"/>
        <w:right w:val="none" w:sz="0" w:space="0" w:color="auto"/>
      </w:divBdr>
    </w:div>
    <w:div w:id="1376278211">
      <w:bodyDiv w:val="1"/>
      <w:marLeft w:val="0"/>
      <w:marRight w:val="0"/>
      <w:marTop w:val="0"/>
      <w:marBottom w:val="0"/>
      <w:divBdr>
        <w:top w:val="none" w:sz="0" w:space="0" w:color="auto"/>
        <w:left w:val="none" w:sz="0" w:space="0" w:color="auto"/>
        <w:bottom w:val="none" w:sz="0" w:space="0" w:color="auto"/>
        <w:right w:val="none" w:sz="0" w:space="0" w:color="auto"/>
      </w:divBdr>
    </w:div>
    <w:div w:id="1390569900">
      <w:bodyDiv w:val="1"/>
      <w:marLeft w:val="0"/>
      <w:marRight w:val="0"/>
      <w:marTop w:val="0"/>
      <w:marBottom w:val="0"/>
      <w:divBdr>
        <w:top w:val="none" w:sz="0" w:space="0" w:color="auto"/>
        <w:left w:val="none" w:sz="0" w:space="0" w:color="auto"/>
        <w:bottom w:val="none" w:sz="0" w:space="0" w:color="auto"/>
        <w:right w:val="none" w:sz="0" w:space="0" w:color="auto"/>
      </w:divBdr>
    </w:div>
    <w:div w:id="1628927877">
      <w:bodyDiv w:val="1"/>
      <w:marLeft w:val="0"/>
      <w:marRight w:val="0"/>
      <w:marTop w:val="0"/>
      <w:marBottom w:val="0"/>
      <w:divBdr>
        <w:top w:val="none" w:sz="0" w:space="0" w:color="auto"/>
        <w:left w:val="none" w:sz="0" w:space="0" w:color="auto"/>
        <w:bottom w:val="none" w:sz="0" w:space="0" w:color="auto"/>
        <w:right w:val="none" w:sz="0" w:space="0" w:color="auto"/>
      </w:divBdr>
    </w:div>
    <w:div w:id="1774402053">
      <w:bodyDiv w:val="1"/>
      <w:marLeft w:val="0"/>
      <w:marRight w:val="0"/>
      <w:marTop w:val="0"/>
      <w:marBottom w:val="0"/>
      <w:divBdr>
        <w:top w:val="none" w:sz="0" w:space="0" w:color="auto"/>
        <w:left w:val="none" w:sz="0" w:space="0" w:color="auto"/>
        <w:bottom w:val="none" w:sz="0" w:space="0" w:color="auto"/>
        <w:right w:val="none" w:sz="0" w:space="0" w:color="auto"/>
      </w:divBdr>
    </w:div>
    <w:div w:id="1967851817">
      <w:bodyDiv w:val="1"/>
      <w:marLeft w:val="0"/>
      <w:marRight w:val="0"/>
      <w:marTop w:val="0"/>
      <w:marBottom w:val="0"/>
      <w:divBdr>
        <w:top w:val="none" w:sz="0" w:space="0" w:color="auto"/>
        <w:left w:val="none" w:sz="0" w:space="0" w:color="auto"/>
        <w:bottom w:val="none" w:sz="0" w:space="0" w:color="auto"/>
        <w:right w:val="none" w:sz="0" w:space="0" w:color="auto"/>
      </w:divBdr>
    </w:div>
    <w:div w:id="201013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mina-intelligence.com/product/convenience-tracking-programme/" TargetMode="External"/><Relationship Id="rId3" Type="http://schemas.openxmlformats.org/officeDocument/2006/relationships/settings" Target="settings.xml"/><Relationship Id="rId7" Type="http://schemas.openxmlformats.org/officeDocument/2006/relationships/hyperlink" Target="https://www.lumina-intelligence.com/product/convenience-tracking-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ca.ricocastrillo@lumina-intelligence.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umina-intelligence.com/" TargetMode="External"/><Relationship Id="rId4" Type="http://schemas.openxmlformats.org/officeDocument/2006/relationships/webSettings" Target="webSettings.xml"/><Relationship Id="rId9"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Rigali</dc:creator>
  <cp:keywords/>
  <dc:description/>
  <cp:lastModifiedBy>Monica Rico Castrillo</cp:lastModifiedBy>
  <cp:revision>3</cp:revision>
  <dcterms:created xsi:type="dcterms:W3CDTF">2025-10-30T09:36:00Z</dcterms:created>
  <dcterms:modified xsi:type="dcterms:W3CDTF">2025-10-30T10:28:00Z</dcterms:modified>
</cp:coreProperties>
</file>