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16301516">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8">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7899A3F7" w:rsidR="00E86F6E" w:rsidRDefault="0059527F"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18</w:t>
      </w:r>
      <w:r w:rsidR="00913220">
        <w:rPr>
          <w:rFonts w:asciiTheme="majorHAnsi" w:hAnsiTheme="majorHAnsi" w:cstheme="majorHAnsi"/>
          <w:b/>
          <w:bCs/>
          <w:sz w:val="20"/>
          <w:szCs w:val="20"/>
          <w:u w:val="single"/>
        </w:rPr>
        <w:t xml:space="preserve"> </w:t>
      </w:r>
      <w:r>
        <w:rPr>
          <w:rFonts w:asciiTheme="majorHAnsi" w:hAnsiTheme="majorHAnsi" w:cstheme="majorHAnsi"/>
          <w:b/>
          <w:bCs/>
          <w:sz w:val="20"/>
          <w:szCs w:val="20"/>
          <w:u w:val="single"/>
        </w:rPr>
        <w:t>November</w:t>
      </w:r>
      <w:r w:rsidR="00913220">
        <w:rPr>
          <w:rFonts w:asciiTheme="majorHAnsi" w:hAnsiTheme="majorHAnsi" w:cstheme="majorHAnsi"/>
          <w:b/>
          <w:bCs/>
          <w:sz w:val="20"/>
          <w:szCs w:val="20"/>
          <w:u w:val="single"/>
        </w:rPr>
        <w:t xml:space="preserve"> 2025</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34DC2736" w14:textId="77777777" w:rsidR="0059527F" w:rsidRDefault="0059527F" w:rsidP="0059527F">
      <w:pPr>
        <w:rPr>
          <w:rFonts w:asciiTheme="majorHAnsi" w:eastAsiaTheme="majorEastAsia" w:hAnsiTheme="majorHAnsi" w:cstheme="majorBidi"/>
          <w:b/>
          <w:bCs/>
          <w:sz w:val="32"/>
          <w:szCs w:val="32"/>
        </w:rPr>
      </w:pPr>
      <w:r w:rsidRPr="0059527F">
        <w:rPr>
          <w:rFonts w:asciiTheme="majorHAnsi" w:eastAsiaTheme="majorEastAsia" w:hAnsiTheme="majorHAnsi" w:cstheme="majorBidi"/>
          <w:b/>
          <w:bCs/>
          <w:sz w:val="32"/>
          <w:szCs w:val="32"/>
        </w:rPr>
        <w:t>Pubs Lead Market Revival as Consumers Rebalance Spend and Redefine Value</w:t>
      </w:r>
    </w:p>
    <w:p w14:paraId="632D26A6" w14:textId="6483F1B2" w:rsidR="0059527F" w:rsidRPr="0059527F" w:rsidRDefault="008214AB" w:rsidP="0059527F">
      <w:r w:rsidRPr="008214AB">
        <w:t xml:space="preserve">The latest </w:t>
      </w:r>
      <w:hyperlink r:id="rId10" w:history="1">
        <w:r w:rsidR="00913220" w:rsidRPr="007B24B8">
          <w:rPr>
            <w:rStyle w:val="Hyperlink"/>
            <w:rFonts w:asciiTheme="majorHAnsi" w:eastAsiaTheme="majorEastAsia" w:hAnsiTheme="majorHAnsi" w:cstheme="majorBidi"/>
          </w:rPr>
          <w:t>Eating and Drinking Out Panel</w:t>
        </w:r>
      </w:hyperlink>
      <w:r>
        <w:t xml:space="preserve"> </w:t>
      </w:r>
      <w:r w:rsidR="0059527F">
        <w:t>q</w:t>
      </w:r>
      <w:r w:rsidR="0059527F" w:rsidRPr="0059527F">
        <w:t xml:space="preserve">uarterly </w:t>
      </w:r>
      <w:r w:rsidR="0059527F">
        <w:t>data</w:t>
      </w:r>
      <w:r w:rsidR="0059527F" w:rsidRPr="0059527F">
        <w:t xml:space="preserve"> from Lumina Intelligence shows that the UK eating out market continued to build momentum in Q3 2025, with sunshine and major sporting events delivering a notable boost to pubs and bars. Eating out penetration rose to 58.5%, an increase of 0.6 percentage points, while pubs and bars outpaced the wider market with a 1.3ppt share gain, making them the fastest-growing channel this quarter. This strong performance contributed to a 1.5ppt uplift in drink-led occasions, highlighting the sector’s role not only in riding the market recovery but actively leading it.</w:t>
      </w:r>
    </w:p>
    <w:p w14:paraId="56308DB0" w14:textId="77812A28" w:rsidR="0059527F" w:rsidRPr="0059527F" w:rsidRDefault="0059527F" w:rsidP="0059527F">
      <w:r w:rsidRPr="0059527F">
        <w:t xml:space="preserve">Consumer behaviour continues to shift as households carefully manage spend across dayparts. Lunch occasions declined by 0.9ppts overall, with pubs, bars and catering particularly affected as more consumers turned to retail meal deals or food brought from home. These lunchtime cutbacks helped redirect spend into higher-tempo, drink-focused evening occasions, even as dinner share fell </w:t>
      </w:r>
      <w:r w:rsidR="00AD3337" w:rsidRPr="00AD3337">
        <w:t>by 0.7ppts</w:t>
      </w:r>
      <w:r w:rsidRPr="0059527F">
        <w:t>. Despite the reduced frequency of lunch visits, average spend at lunch climbed by 5.8% to £18.94, showing that when consumers do dine out, they are increasingly willing to trade up for a better experience.</w:t>
      </w:r>
    </w:p>
    <w:p w14:paraId="1FB87B8C" w14:textId="71E15781" w:rsidR="0059527F" w:rsidRPr="0059527F" w:rsidRDefault="0059527F" w:rsidP="0059527F">
      <w:r w:rsidRPr="0059527F">
        <w:t xml:space="preserve">The concept of value in the eating out market is evolving, with consumers placing growing emphasis on quality and trust. The proportion citing “value for money” as a key visit driver rose by 1ppt year-on-year, but this is accompanied by a marked shift in mindset: quality-driven attitudes increased by 2ppts to 78%, and health-conscious behaviours rose by 5ppts. More consumers now view the quality of </w:t>
      </w:r>
      <w:r w:rsidR="00AD3337" w:rsidRPr="00AD3337">
        <w:t>ingredients as a compelling justification for spend</w:t>
      </w:r>
      <w:r w:rsidRPr="0059527F">
        <w:t xml:space="preserve">. Value is therefore being redefined; it is no longer solely about choosing the cheapest </w:t>
      </w:r>
      <w:proofErr w:type="gramStart"/>
      <w:r w:rsidRPr="0059527F">
        <w:t>option, but</w:t>
      </w:r>
      <w:proofErr w:type="gramEnd"/>
      <w:r w:rsidRPr="0059527F">
        <w:t xml:space="preserve"> about paying a fair price that is clearly supported by visible cues of quality, health and trust.</w:t>
      </w:r>
    </w:p>
    <w:p w14:paraId="07FD7228" w14:textId="7F74EFC0" w:rsidR="0059527F" w:rsidRPr="008214AB" w:rsidRDefault="0059527F" w:rsidP="0059527F">
      <w:r w:rsidRPr="0059527F">
        <w:t xml:space="preserve">Commenting on the findings, </w:t>
      </w:r>
      <w:r w:rsidRPr="0059527F">
        <w:rPr>
          <w:b/>
          <w:bCs/>
        </w:rPr>
        <w:t>Tom Price, Insight Manager at Lumina Intelligence</w:t>
      </w:r>
      <w:r w:rsidRPr="0059527F">
        <w:t xml:space="preserve">, said: </w:t>
      </w:r>
      <w:r w:rsidRPr="0059527F">
        <w:rPr>
          <w:i/>
          <w:iCs/>
        </w:rPr>
        <w:t>“This quarter shows a clear rebalancing of how consumers allocate their spending. They are cutting back on lower-priority daytime occasions but rewarding the operators who deliver memorable, high-quality experiences, particularly in pubs and bars. The shift in what ‘value’ means is striking</w:t>
      </w:r>
      <w:r>
        <w:rPr>
          <w:i/>
          <w:iCs/>
        </w:rPr>
        <w:t xml:space="preserve">: </w:t>
      </w:r>
      <w:r w:rsidRPr="0059527F">
        <w:rPr>
          <w:i/>
          <w:iCs/>
        </w:rPr>
        <w:t>consumers want reassurance that their spend is worthwhile, and that comes from demonstrable quality, not discounting. Operators who communicate trust, provenance and experience will continue to win in this environment.”</w:t>
      </w:r>
    </w:p>
    <w:p w14:paraId="7C347F55" w14:textId="77777777" w:rsidR="00AC40C1" w:rsidRPr="004E55EE" w:rsidRDefault="00AC40C1"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1EB50D27" w14:textId="6E9873D3" w:rsidR="00224205" w:rsidRDefault="00224205" w:rsidP="00BE3B0B">
      <w:r>
        <w:t>###</w:t>
      </w: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109C1"/>
    <w:rsid w:val="000224F8"/>
    <w:rsid w:val="00043AAF"/>
    <w:rsid w:val="0005697A"/>
    <w:rsid w:val="0005722F"/>
    <w:rsid w:val="000741EA"/>
    <w:rsid w:val="001332E1"/>
    <w:rsid w:val="00141CF3"/>
    <w:rsid w:val="001A4CBF"/>
    <w:rsid w:val="001E269C"/>
    <w:rsid w:val="00220325"/>
    <w:rsid w:val="00224205"/>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9527F"/>
    <w:rsid w:val="005F3169"/>
    <w:rsid w:val="006302EF"/>
    <w:rsid w:val="00645C76"/>
    <w:rsid w:val="00653930"/>
    <w:rsid w:val="0069146D"/>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70A3C"/>
    <w:rsid w:val="009724BC"/>
    <w:rsid w:val="009740ED"/>
    <w:rsid w:val="0098585D"/>
    <w:rsid w:val="009B4215"/>
    <w:rsid w:val="00A0427B"/>
    <w:rsid w:val="00A503FD"/>
    <w:rsid w:val="00AC40C1"/>
    <w:rsid w:val="00AD3337"/>
    <w:rsid w:val="00B25CB6"/>
    <w:rsid w:val="00B75F5E"/>
    <w:rsid w:val="00BE3B0B"/>
    <w:rsid w:val="00C22C33"/>
    <w:rsid w:val="00C318FA"/>
    <w:rsid w:val="00C370E6"/>
    <w:rsid w:val="00C7385B"/>
    <w:rsid w:val="00CF388F"/>
    <w:rsid w:val="00D21343"/>
    <w:rsid w:val="00D259BD"/>
    <w:rsid w:val="00DB5B70"/>
    <w:rsid w:val="00E069E8"/>
    <w:rsid w:val="00E135AE"/>
    <w:rsid w:val="00E465FF"/>
    <w:rsid w:val="00E67F87"/>
    <w:rsid w:val="00E86F6E"/>
    <w:rsid w:val="00ED2641"/>
    <w:rsid w:val="00EE25EC"/>
    <w:rsid w:val="00EF0656"/>
    <w:rsid w:val="00EF26A3"/>
    <w:rsid w:val="00F24DEE"/>
    <w:rsid w:val="00F356D1"/>
    <w:rsid w:val="00F437B3"/>
    <w:rsid w:val="00F558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45758495">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customXml/itemProps2.xml><?xml version="1.0" encoding="utf-8"?>
<ds:datastoreItem xmlns:ds="http://schemas.openxmlformats.org/officeDocument/2006/customXml" ds:itemID="{3345D18D-638B-4C1C-8568-B27DCF730C50}">
  <ds:schemaRefs>
    <ds:schemaRef ds:uri="http://schemas.microsoft.com/sharepoint/v3/contenttype/forms"/>
  </ds:schemaRefs>
</ds:datastoreItem>
</file>

<file path=customXml/itemProps3.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3</cp:revision>
  <dcterms:created xsi:type="dcterms:W3CDTF">2025-11-18T08:59:00Z</dcterms:created>
  <dcterms:modified xsi:type="dcterms:W3CDTF">2025-11-19T09:56:00Z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