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C8C3" w14:textId="77777777" w:rsidR="001B10D8" w:rsidRPr="001B2381" w:rsidRDefault="001B10D8" w:rsidP="001B10D8">
      <w:pPr>
        <w:spacing w:after="0" w:line="240" w:lineRule="auto"/>
        <w:rPr>
          <w:rFonts w:asciiTheme="majorHAnsi" w:hAnsiTheme="majorHAnsi" w:cstheme="majorHAnsi"/>
          <w:b/>
          <w:bCs/>
          <w:sz w:val="20"/>
          <w:szCs w:val="20"/>
        </w:rPr>
      </w:pPr>
      <w:r w:rsidRPr="001B2381">
        <w:rPr>
          <w:rFonts w:asciiTheme="majorHAnsi" w:hAnsiTheme="majorHAnsi" w:cstheme="majorHAnsi"/>
          <w:b/>
          <w:bCs/>
          <w:noProof/>
          <w:sz w:val="20"/>
          <w:szCs w:val="20"/>
        </w:rPr>
        <w:drawing>
          <wp:anchor distT="0" distB="0" distL="114300" distR="114300" simplePos="0" relativeHeight="251659264" behindDoc="1" locked="0" layoutInCell="1" allowOverlap="1" wp14:anchorId="7E5DE21F" wp14:editId="35C9BFFD">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Pr="001B2381">
        <w:rPr>
          <w:rFonts w:asciiTheme="majorHAnsi" w:hAnsiTheme="majorHAnsi" w:cstheme="majorHAnsi"/>
          <w:b/>
          <w:bCs/>
          <w:sz w:val="20"/>
          <w:szCs w:val="20"/>
        </w:rPr>
        <w:t>CONTACT INFORMATION:</w:t>
      </w:r>
    </w:p>
    <w:p w14:paraId="56B4B3C9" w14:textId="77777777" w:rsidR="001B10D8" w:rsidRPr="001B2381" w:rsidRDefault="001B10D8" w:rsidP="001B10D8">
      <w:pPr>
        <w:spacing w:after="0" w:line="240" w:lineRule="auto"/>
        <w:rPr>
          <w:rFonts w:asciiTheme="majorHAnsi" w:hAnsiTheme="majorHAnsi" w:cstheme="majorHAnsi"/>
          <w:b/>
          <w:bCs/>
          <w:sz w:val="20"/>
          <w:szCs w:val="20"/>
        </w:rPr>
      </w:pPr>
      <w:r w:rsidRPr="001B2381">
        <w:rPr>
          <w:rFonts w:asciiTheme="majorHAnsi" w:hAnsiTheme="majorHAnsi" w:cstheme="majorHAnsi"/>
          <w:b/>
          <w:bCs/>
          <w:sz w:val="20"/>
          <w:szCs w:val="20"/>
        </w:rPr>
        <w:t>Lumina Intelligence</w:t>
      </w:r>
    </w:p>
    <w:p w14:paraId="6D6202C7" w14:textId="77777777" w:rsidR="001B10D8" w:rsidRPr="001B2381" w:rsidRDefault="001B10D8" w:rsidP="001B10D8">
      <w:pPr>
        <w:spacing w:after="0" w:line="240" w:lineRule="auto"/>
        <w:rPr>
          <w:rFonts w:asciiTheme="majorHAnsi" w:hAnsiTheme="majorHAnsi" w:cstheme="majorHAnsi"/>
          <w:b/>
          <w:bCs/>
          <w:sz w:val="20"/>
          <w:szCs w:val="20"/>
        </w:rPr>
      </w:pPr>
      <w:r w:rsidRPr="001B2381">
        <w:rPr>
          <w:rFonts w:asciiTheme="majorHAnsi" w:hAnsiTheme="majorHAnsi" w:cstheme="majorHAnsi"/>
          <w:b/>
          <w:bCs/>
          <w:sz w:val="20"/>
          <w:szCs w:val="20"/>
        </w:rPr>
        <w:t>Monica Rico</w:t>
      </w:r>
    </w:p>
    <w:p w14:paraId="0F2A9DD8" w14:textId="70F62A87" w:rsidR="00C52592" w:rsidRDefault="00C52592" w:rsidP="001B10D8">
      <w:pPr>
        <w:spacing w:after="0" w:line="240" w:lineRule="auto"/>
        <w:rPr>
          <w:rFonts w:asciiTheme="majorHAnsi" w:hAnsiTheme="majorHAnsi" w:cstheme="majorHAnsi"/>
          <w:b/>
          <w:bCs/>
          <w:sz w:val="20"/>
          <w:szCs w:val="20"/>
        </w:rPr>
      </w:pPr>
      <w:r w:rsidRPr="00C52592">
        <w:rPr>
          <w:rFonts w:asciiTheme="majorHAnsi" w:hAnsiTheme="majorHAnsi" w:cstheme="majorHAnsi"/>
          <w:b/>
          <w:bCs/>
          <w:sz w:val="20"/>
          <w:szCs w:val="20"/>
        </w:rPr>
        <w:t>+442076110427</w:t>
      </w:r>
    </w:p>
    <w:p w14:paraId="0F89FE6C" w14:textId="7E75FAFC" w:rsidR="001B10D8" w:rsidRPr="001B2381" w:rsidRDefault="001B10D8" w:rsidP="001B10D8">
      <w:pPr>
        <w:spacing w:after="0" w:line="240" w:lineRule="auto"/>
        <w:rPr>
          <w:rFonts w:asciiTheme="majorHAnsi" w:hAnsiTheme="majorHAnsi" w:cstheme="majorHAnsi"/>
          <w:sz w:val="20"/>
          <w:szCs w:val="20"/>
          <w:u w:val="single"/>
        </w:rPr>
      </w:pPr>
      <w:hyperlink r:id="rId6" w:history="1">
        <w:r w:rsidRPr="001B2381">
          <w:rPr>
            <w:rFonts w:asciiTheme="majorHAnsi" w:hAnsiTheme="majorHAnsi" w:cstheme="majorHAnsi"/>
            <w:b/>
            <w:bCs/>
            <w:sz w:val="20"/>
            <w:szCs w:val="20"/>
            <w:u w:val="single"/>
          </w:rPr>
          <w:t>monica.ricocastrillo@lumina-intelligence.co.uk</w:t>
        </w:r>
      </w:hyperlink>
    </w:p>
    <w:p w14:paraId="3BF232AD" w14:textId="77777777" w:rsidR="001B10D8" w:rsidRPr="001B2381" w:rsidRDefault="001B10D8" w:rsidP="001B10D8">
      <w:pPr>
        <w:spacing w:after="0" w:line="240" w:lineRule="auto"/>
        <w:rPr>
          <w:rFonts w:asciiTheme="majorHAnsi" w:hAnsiTheme="majorHAnsi" w:cstheme="majorHAnsi"/>
          <w:sz w:val="20"/>
          <w:szCs w:val="20"/>
          <w:u w:val="single"/>
        </w:rPr>
      </w:pPr>
    </w:p>
    <w:p w14:paraId="558EEE96" w14:textId="0363574A" w:rsidR="001B10D8" w:rsidRPr="001B2381" w:rsidRDefault="009035C6" w:rsidP="001B10D8">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6 January 2026</w:t>
      </w:r>
    </w:p>
    <w:p w14:paraId="6763E53A" w14:textId="77777777" w:rsidR="001B10D8" w:rsidRPr="001B2381" w:rsidRDefault="001B10D8" w:rsidP="001B10D8">
      <w:pPr>
        <w:pStyle w:val="Default"/>
        <w:rPr>
          <w:color w:val="auto"/>
          <w:sz w:val="20"/>
          <w:szCs w:val="20"/>
        </w:rPr>
      </w:pPr>
    </w:p>
    <w:p w14:paraId="65DA6CA5" w14:textId="77777777" w:rsidR="00C52592" w:rsidRDefault="00C52592" w:rsidP="00C52592">
      <w:pPr>
        <w:rPr>
          <w:b/>
          <w:bCs/>
          <w:sz w:val="24"/>
          <w:szCs w:val="24"/>
        </w:rPr>
      </w:pPr>
    </w:p>
    <w:p w14:paraId="372EFD7D" w14:textId="77777777" w:rsidR="009035C6" w:rsidRDefault="009035C6" w:rsidP="009035C6">
      <w:pPr>
        <w:rPr>
          <w:b/>
          <w:bCs/>
          <w:sz w:val="24"/>
          <w:szCs w:val="24"/>
        </w:rPr>
      </w:pPr>
      <w:r w:rsidRPr="009035C6">
        <w:rPr>
          <w:b/>
          <w:bCs/>
          <w:sz w:val="24"/>
          <w:szCs w:val="24"/>
        </w:rPr>
        <w:t>Experience-led formats and challenger brands accelerate growth across UK hospitality as agility becomes the ultimate advantage</w:t>
      </w:r>
    </w:p>
    <w:p w14:paraId="4ED5E24F" w14:textId="359A5CAC" w:rsidR="009035C6" w:rsidRPr="009035C6" w:rsidRDefault="009035C6" w:rsidP="009035C6">
      <w:pPr>
        <w:rPr>
          <w:sz w:val="20"/>
          <w:szCs w:val="20"/>
        </w:rPr>
      </w:pPr>
      <w:r w:rsidRPr="009035C6">
        <w:rPr>
          <w:sz w:val="20"/>
          <w:szCs w:val="20"/>
        </w:rPr>
        <w:t xml:space="preserve">New data from </w:t>
      </w:r>
      <w:hyperlink r:id="rId7" w:history="1">
        <w:r w:rsidRPr="009035C6">
          <w:rPr>
            <w:rStyle w:val="Hyperlink"/>
            <w:sz w:val="20"/>
            <w:szCs w:val="20"/>
          </w:rPr>
          <w:t>Lumina Intelligence’s Operator Data Index</w:t>
        </w:r>
      </w:hyperlink>
      <w:r w:rsidRPr="009035C6">
        <w:rPr>
          <w:sz w:val="20"/>
          <w:szCs w:val="20"/>
        </w:rPr>
        <w:t xml:space="preserve"> highlights the rise of premium all-day dining, tech-enabled QSR growth, and immersive “multi-mission” venues driving spend</w:t>
      </w:r>
    </w:p>
    <w:p w14:paraId="7E57CFC8" w14:textId="16B282BB" w:rsidR="009035C6" w:rsidRPr="009035C6" w:rsidRDefault="009035C6" w:rsidP="009035C6">
      <w:pPr>
        <w:rPr>
          <w:sz w:val="20"/>
          <w:szCs w:val="20"/>
        </w:rPr>
      </w:pPr>
      <w:r w:rsidRPr="009035C6">
        <w:rPr>
          <w:sz w:val="20"/>
          <w:szCs w:val="20"/>
        </w:rPr>
        <w:t xml:space="preserve">Operators across the UK hospitality market are increasingly winning share through experience-led formats, tech integration and rapid-format innovation, according to </w:t>
      </w:r>
      <w:r w:rsidRPr="009035C6">
        <w:rPr>
          <w:b/>
          <w:bCs/>
          <w:sz w:val="20"/>
          <w:szCs w:val="20"/>
        </w:rPr>
        <w:t xml:space="preserve">Lumina Intelligence’s newly released Operator Data Index (ODI) </w:t>
      </w:r>
      <w:r>
        <w:rPr>
          <w:b/>
          <w:bCs/>
          <w:sz w:val="20"/>
          <w:szCs w:val="20"/>
        </w:rPr>
        <w:t>q</w:t>
      </w:r>
      <w:r w:rsidRPr="009035C6">
        <w:rPr>
          <w:b/>
          <w:bCs/>
          <w:sz w:val="20"/>
          <w:szCs w:val="20"/>
        </w:rPr>
        <w:t xml:space="preserve">uarterly </w:t>
      </w:r>
      <w:r>
        <w:rPr>
          <w:b/>
          <w:bCs/>
          <w:sz w:val="20"/>
          <w:szCs w:val="20"/>
        </w:rPr>
        <w:t>data</w:t>
      </w:r>
      <w:r w:rsidRPr="009035C6">
        <w:rPr>
          <w:sz w:val="20"/>
          <w:szCs w:val="20"/>
        </w:rPr>
        <w:t>. While overall performance remains uneven, the latest ODI findings show that growth is being concentrated among operators that create stronger reasons to visit</w:t>
      </w:r>
      <w:r>
        <w:rPr>
          <w:sz w:val="20"/>
          <w:szCs w:val="20"/>
        </w:rPr>
        <w:t xml:space="preserve">, </w:t>
      </w:r>
      <w:r w:rsidRPr="009035C6">
        <w:rPr>
          <w:sz w:val="20"/>
          <w:szCs w:val="20"/>
        </w:rPr>
        <w:t>whether through premiumisation, entertainment, convenience or digitally enabled service</w:t>
      </w:r>
      <w:r>
        <w:rPr>
          <w:sz w:val="20"/>
          <w:szCs w:val="20"/>
        </w:rPr>
        <w:t xml:space="preserve">, </w:t>
      </w:r>
      <w:r w:rsidRPr="009035C6">
        <w:rPr>
          <w:sz w:val="20"/>
          <w:szCs w:val="20"/>
        </w:rPr>
        <w:t xml:space="preserve">rather than those relying on scale alone. </w:t>
      </w:r>
    </w:p>
    <w:p w14:paraId="6EB2A332" w14:textId="77777777" w:rsidR="00CB5B7B" w:rsidRDefault="009035C6" w:rsidP="00CB5B7B">
      <w:pPr>
        <w:rPr>
          <w:sz w:val="20"/>
          <w:szCs w:val="20"/>
        </w:rPr>
      </w:pPr>
      <w:r w:rsidRPr="009035C6">
        <w:rPr>
          <w:b/>
          <w:bCs/>
          <w:sz w:val="20"/>
          <w:szCs w:val="20"/>
        </w:rPr>
        <w:t xml:space="preserve">Restaurants </w:t>
      </w:r>
      <w:r w:rsidR="00CB5B7B">
        <w:rPr>
          <w:b/>
          <w:bCs/>
          <w:sz w:val="20"/>
          <w:szCs w:val="20"/>
        </w:rPr>
        <w:t>turnover is</w:t>
      </w:r>
      <w:r w:rsidRPr="009035C6">
        <w:rPr>
          <w:b/>
          <w:bCs/>
          <w:sz w:val="20"/>
          <w:szCs w:val="20"/>
        </w:rPr>
        <w:t xml:space="preserve"> growing </w:t>
      </w:r>
      <w:r w:rsidR="00CB5B7B">
        <w:rPr>
          <w:b/>
          <w:bCs/>
          <w:sz w:val="20"/>
          <w:szCs w:val="20"/>
        </w:rPr>
        <w:t>modestly</w:t>
      </w:r>
      <w:r w:rsidRPr="009035C6">
        <w:rPr>
          <w:b/>
          <w:bCs/>
          <w:sz w:val="20"/>
          <w:szCs w:val="20"/>
        </w:rPr>
        <w:t xml:space="preserve"> (+0.8%)</w:t>
      </w:r>
      <w:r w:rsidRPr="009035C6">
        <w:rPr>
          <w:sz w:val="20"/>
          <w:szCs w:val="20"/>
        </w:rPr>
        <w:t xml:space="preserve">, but fine dining is outperforming </w:t>
      </w:r>
      <w:r w:rsidR="00CB5B7B" w:rsidRPr="00CB5B7B">
        <w:rPr>
          <w:sz w:val="20"/>
          <w:szCs w:val="20"/>
        </w:rPr>
        <w:t>driven by resilient consumer demand. Leading brands like Dishoom and Wagamama have capitalised on their premium positioning and versatile all-day offering, appealing to younger consumers and those prioritising atmosphere and occasion over price. In a cautious economy, experience has become a critical differentiator, boosting both visit frequency and spend as consumers become more discerning about where they dine.</w:t>
      </w:r>
    </w:p>
    <w:p w14:paraId="30547A89" w14:textId="562BA9FA" w:rsidR="009035C6" w:rsidRPr="009035C6" w:rsidRDefault="009035C6" w:rsidP="009035C6">
      <w:pPr>
        <w:rPr>
          <w:sz w:val="20"/>
          <w:szCs w:val="20"/>
        </w:rPr>
      </w:pPr>
      <w:r w:rsidRPr="009035C6">
        <w:rPr>
          <w:sz w:val="20"/>
          <w:szCs w:val="20"/>
        </w:rPr>
        <w:t xml:space="preserve">Meanwhile, </w:t>
      </w:r>
      <w:r w:rsidRPr="009035C6">
        <w:rPr>
          <w:b/>
          <w:bCs/>
          <w:sz w:val="20"/>
          <w:szCs w:val="20"/>
        </w:rPr>
        <w:t>pubs and bars (+2.0%)</w:t>
      </w:r>
      <w:r w:rsidRPr="009035C6">
        <w:rPr>
          <w:sz w:val="20"/>
          <w:szCs w:val="20"/>
        </w:rPr>
        <w:t xml:space="preserve"> are finding growth by reinventing traditional formats into immersive destinations. Operators are increasingly creating </w:t>
      </w:r>
      <w:r w:rsidRPr="009035C6">
        <w:rPr>
          <w:b/>
          <w:bCs/>
          <w:sz w:val="20"/>
          <w:szCs w:val="20"/>
        </w:rPr>
        <w:t>multi-mission spaces</w:t>
      </w:r>
      <w:r>
        <w:rPr>
          <w:sz w:val="20"/>
          <w:szCs w:val="20"/>
        </w:rPr>
        <w:t xml:space="preserve"> (</w:t>
      </w:r>
      <w:r w:rsidRPr="009035C6">
        <w:rPr>
          <w:sz w:val="20"/>
          <w:szCs w:val="20"/>
        </w:rPr>
        <w:t>combining food, drink and entertainment</w:t>
      </w:r>
      <w:r>
        <w:rPr>
          <w:sz w:val="20"/>
          <w:szCs w:val="20"/>
        </w:rPr>
        <w:t xml:space="preserve">) </w:t>
      </w:r>
      <w:r w:rsidRPr="009035C6">
        <w:rPr>
          <w:sz w:val="20"/>
          <w:szCs w:val="20"/>
        </w:rPr>
        <w:t xml:space="preserve">to maximise dwell time and spend. New nightlife concepts from </w:t>
      </w:r>
      <w:r w:rsidRPr="009035C6">
        <w:rPr>
          <w:b/>
          <w:bCs/>
          <w:sz w:val="20"/>
          <w:szCs w:val="20"/>
        </w:rPr>
        <w:t>Hard Rock</w:t>
      </w:r>
      <w:r w:rsidRPr="009035C6">
        <w:rPr>
          <w:sz w:val="20"/>
          <w:szCs w:val="20"/>
        </w:rPr>
        <w:t xml:space="preserve"> and the rise of competitive socialising venues including </w:t>
      </w:r>
      <w:r w:rsidRPr="009035C6">
        <w:rPr>
          <w:b/>
          <w:bCs/>
          <w:sz w:val="20"/>
          <w:szCs w:val="20"/>
        </w:rPr>
        <w:t>Flight Club</w:t>
      </w:r>
      <w:r w:rsidRPr="009035C6">
        <w:rPr>
          <w:sz w:val="20"/>
          <w:szCs w:val="20"/>
        </w:rPr>
        <w:t xml:space="preserve"> and </w:t>
      </w:r>
      <w:r w:rsidRPr="009035C6">
        <w:rPr>
          <w:b/>
          <w:bCs/>
          <w:sz w:val="20"/>
          <w:szCs w:val="20"/>
        </w:rPr>
        <w:t>NQ64</w:t>
      </w:r>
      <w:r w:rsidRPr="009035C6">
        <w:rPr>
          <w:sz w:val="20"/>
          <w:szCs w:val="20"/>
        </w:rPr>
        <w:t xml:space="preserve"> demonstrate how experiential positioning is reshaping consumer expectations, particularly as more traditional formats</w:t>
      </w:r>
      <w:r>
        <w:rPr>
          <w:sz w:val="20"/>
          <w:szCs w:val="20"/>
        </w:rPr>
        <w:t xml:space="preserve"> </w:t>
      </w:r>
      <w:r w:rsidRPr="009035C6">
        <w:rPr>
          <w:sz w:val="20"/>
          <w:szCs w:val="20"/>
        </w:rPr>
        <w:t xml:space="preserve">face sustained pressure. </w:t>
      </w:r>
    </w:p>
    <w:p w14:paraId="0AEE7F6F" w14:textId="4449482E" w:rsidR="009035C6" w:rsidRDefault="009035C6" w:rsidP="009035C6">
      <w:pPr>
        <w:rPr>
          <w:sz w:val="20"/>
          <w:szCs w:val="20"/>
        </w:rPr>
      </w:pPr>
      <w:r w:rsidRPr="009035C6">
        <w:rPr>
          <w:sz w:val="20"/>
          <w:szCs w:val="20"/>
        </w:rPr>
        <w:t>Across all channels,</w:t>
      </w:r>
      <w:r>
        <w:rPr>
          <w:sz w:val="20"/>
          <w:szCs w:val="20"/>
        </w:rPr>
        <w:t xml:space="preserve"> our data indicates</w:t>
      </w:r>
      <w:r w:rsidRPr="009035C6">
        <w:rPr>
          <w:sz w:val="20"/>
          <w:szCs w:val="20"/>
        </w:rPr>
        <w:t xml:space="preserve"> that success is being driven by </w:t>
      </w:r>
      <w:r w:rsidRPr="009035C6">
        <w:rPr>
          <w:b/>
          <w:bCs/>
          <w:sz w:val="20"/>
          <w:szCs w:val="20"/>
        </w:rPr>
        <w:t>agility</w:t>
      </w:r>
      <w:r w:rsidRPr="009035C6">
        <w:rPr>
          <w:sz w:val="20"/>
          <w:szCs w:val="20"/>
        </w:rPr>
        <w:t xml:space="preserve">. The strongest performers are adapting quickly through smaller high-footfall footprints, loyalty ecosystems, tech integration, and hybrid concepts that flex to different occasions throughout the day. In today’s trading environment, agility has become the ultimate competitive advantage, enabling operators to respond faster to shifting consumer missions and cost pressures while still delivering value in more multidimensional ways. </w:t>
      </w:r>
    </w:p>
    <w:p w14:paraId="4DDA24FD" w14:textId="77777777" w:rsidR="00DB3319" w:rsidRDefault="00DB3319" w:rsidP="00462EF0">
      <w:pPr>
        <w:rPr>
          <w:sz w:val="20"/>
          <w:szCs w:val="20"/>
        </w:rPr>
      </w:pPr>
    </w:p>
    <w:p w14:paraId="0525D748" w14:textId="3D85B76A" w:rsidR="001B10D8" w:rsidRPr="001B2381" w:rsidRDefault="001B10D8" w:rsidP="00462EF0">
      <w:pPr>
        <w:rPr>
          <w:b/>
          <w:bCs/>
          <w:sz w:val="20"/>
          <w:szCs w:val="20"/>
        </w:rPr>
      </w:pPr>
      <w:r w:rsidRPr="001B2381">
        <w:rPr>
          <w:b/>
          <w:bCs/>
          <w:sz w:val="20"/>
          <w:szCs w:val="20"/>
        </w:rPr>
        <w:t>ENDS</w:t>
      </w:r>
    </w:p>
    <w:p w14:paraId="007EFB29" w14:textId="227605E0" w:rsidR="001B10D8" w:rsidRPr="001B2381" w:rsidRDefault="001B10D8" w:rsidP="00462EF0">
      <w:pPr>
        <w:rPr>
          <w:b/>
          <w:bCs/>
          <w:sz w:val="20"/>
          <w:szCs w:val="20"/>
        </w:rPr>
      </w:pPr>
    </w:p>
    <w:p w14:paraId="0885A873" w14:textId="418BAAAC" w:rsidR="00241BE9" w:rsidRPr="00C66000" w:rsidRDefault="001B10D8" w:rsidP="001B10D8">
      <w:pPr>
        <w:rPr>
          <w:sz w:val="20"/>
          <w:szCs w:val="20"/>
        </w:rPr>
      </w:pPr>
      <w:r w:rsidRPr="001B2381">
        <w:rPr>
          <w:sz w:val="20"/>
          <w:szCs w:val="20"/>
        </w:rPr>
        <w:t>--</w:t>
      </w:r>
    </w:p>
    <w:p w14:paraId="1A586215" w14:textId="77777777" w:rsidR="00241BE9" w:rsidRDefault="00241BE9" w:rsidP="001B10D8">
      <w:pPr>
        <w:rPr>
          <w:b/>
          <w:bCs/>
          <w:sz w:val="20"/>
          <w:szCs w:val="20"/>
        </w:rPr>
      </w:pPr>
    </w:p>
    <w:p w14:paraId="089A780D" w14:textId="0A9BE978" w:rsidR="001B10D8" w:rsidRPr="001B2381" w:rsidRDefault="001B10D8" w:rsidP="001B10D8">
      <w:pPr>
        <w:rPr>
          <w:b/>
          <w:bCs/>
          <w:sz w:val="20"/>
          <w:szCs w:val="20"/>
        </w:rPr>
      </w:pPr>
      <w:r w:rsidRPr="001B2381">
        <w:rPr>
          <w:b/>
          <w:bCs/>
          <w:sz w:val="20"/>
          <w:szCs w:val="20"/>
        </w:rPr>
        <w:t xml:space="preserve">The Operator Data Index: </w:t>
      </w:r>
    </w:p>
    <w:p w14:paraId="666B2BF4" w14:textId="3A1EB96A" w:rsidR="001B10D8" w:rsidRPr="001B2381" w:rsidRDefault="001B10D8" w:rsidP="001B10D8">
      <w:pPr>
        <w:rPr>
          <w:sz w:val="20"/>
          <w:szCs w:val="20"/>
        </w:rPr>
      </w:pPr>
      <w:r w:rsidRPr="001B2381">
        <w:rPr>
          <w:sz w:val="20"/>
          <w:szCs w:val="20"/>
        </w:rPr>
        <w:t xml:space="preserve">Lumina Intelligence’s </w:t>
      </w:r>
      <w:hyperlink r:id="rId8" w:history="1">
        <w:r w:rsidRPr="00080EF1">
          <w:rPr>
            <w:rStyle w:val="Hyperlink"/>
            <w:b/>
            <w:bCs/>
            <w:sz w:val="20"/>
            <w:szCs w:val="20"/>
          </w:rPr>
          <w:t>Operator Data Index</w:t>
        </w:r>
      </w:hyperlink>
      <w:r w:rsidRPr="001B2381">
        <w:rPr>
          <w:b/>
          <w:bCs/>
          <w:sz w:val="20"/>
          <w:szCs w:val="20"/>
        </w:rPr>
        <w:t xml:space="preserve"> </w:t>
      </w:r>
      <w:r w:rsidRPr="001B2381">
        <w:rPr>
          <w:sz w:val="20"/>
          <w:szCs w:val="20"/>
        </w:rPr>
        <w:t>provides</w:t>
      </w:r>
      <w:r w:rsidRPr="001B2381">
        <w:rPr>
          <w:b/>
          <w:bCs/>
          <w:sz w:val="20"/>
          <w:szCs w:val="20"/>
        </w:rPr>
        <w:t xml:space="preserve"> </w:t>
      </w:r>
      <w:r w:rsidRPr="001B2381">
        <w:rPr>
          <w:sz w:val="20"/>
          <w:szCs w:val="20"/>
        </w:rPr>
        <w:t>c</w:t>
      </w:r>
      <w:r w:rsidRPr="001B10D8">
        <w:rPr>
          <w:sz w:val="20"/>
          <w:szCs w:val="20"/>
        </w:rPr>
        <w:t>ontinuous turnover and outlet data on </w:t>
      </w:r>
      <w:r w:rsidRPr="001B10D8">
        <w:rPr>
          <w:b/>
          <w:bCs/>
          <w:sz w:val="20"/>
          <w:szCs w:val="20"/>
        </w:rPr>
        <w:t>400+ UK pub, restaurant, QSR, sandwich and coffee shop operators</w:t>
      </w:r>
      <w:r w:rsidRPr="001B2381">
        <w:rPr>
          <w:sz w:val="20"/>
          <w:szCs w:val="20"/>
        </w:rPr>
        <w:t>, a</w:t>
      </w:r>
      <w:r w:rsidRPr="001B10D8">
        <w:rPr>
          <w:sz w:val="20"/>
          <w:szCs w:val="20"/>
        </w:rPr>
        <w:t>nalys</w:t>
      </w:r>
      <w:r w:rsidRPr="001B2381">
        <w:rPr>
          <w:sz w:val="20"/>
          <w:szCs w:val="20"/>
        </w:rPr>
        <w:t>ing</w:t>
      </w:r>
      <w:r w:rsidRPr="001B10D8">
        <w:rPr>
          <w:sz w:val="20"/>
          <w:szCs w:val="20"/>
        </w:rPr>
        <w:t xml:space="preserve"> the leading and fastest growing brands through an interactive dashboard, </w:t>
      </w:r>
      <w:r w:rsidRPr="001B2381">
        <w:rPr>
          <w:sz w:val="20"/>
          <w:szCs w:val="20"/>
        </w:rPr>
        <w:t>bringing subscribers</w:t>
      </w:r>
      <w:r w:rsidRPr="001B10D8">
        <w:rPr>
          <w:sz w:val="20"/>
          <w:szCs w:val="20"/>
        </w:rPr>
        <w:t xml:space="preserve"> quarterly market intelligence reports.</w:t>
      </w:r>
    </w:p>
    <w:p w14:paraId="02EE531D" w14:textId="0BF730FE" w:rsidR="001B10D8" w:rsidRPr="001B2381" w:rsidRDefault="001B10D8" w:rsidP="001B10D8">
      <w:pPr>
        <w:rPr>
          <w:sz w:val="20"/>
          <w:szCs w:val="20"/>
        </w:rPr>
      </w:pPr>
    </w:p>
    <w:p w14:paraId="485A5CFD" w14:textId="77777777" w:rsidR="001B2381" w:rsidRPr="001B2381" w:rsidRDefault="001B2381" w:rsidP="001B2381">
      <w:pPr>
        <w:rPr>
          <w:rFonts w:ascii="Arial" w:hAnsi="Arial" w:cs="Arial"/>
          <w:b/>
          <w:bCs/>
          <w:sz w:val="20"/>
          <w:szCs w:val="20"/>
        </w:rPr>
      </w:pPr>
      <w:r w:rsidRPr="001B2381">
        <w:rPr>
          <w:rFonts w:ascii="Arial" w:hAnsi="Arial" w:cs="Arial"/>
          <w:b/>
          <w:bCs/>
          <w:sz w:val="20"/>
          <w:szCs w:val="20"/>
        </w:rPr>
        <w:t>Report methodology</w:t>
      </w:r>
    </w:p>
    <w:p w14:paraId="4DAE2961" w14:textId="1F8F6C68" w:rsidR="001B2381" w:rsidRPr="001B2381" w:rsidRDefault="001B2381" w:rsidP="001B2381">
      <w:pPr>
        <w:rPr>
          <w:rFonts w:ascii="Arial" w:hAnsi="Arial" w:cs="Arial"/>
          <w:sz w:val="20"/>
          <w:szCs w:val="20"/>
        </w:rPr>
      </w:pPr>
      <w:r w:rsidRPr="001B2381">
        <w:rPr>
          <w:rFonts w:ascii="Arial" w:hAnsi="Arial" w:cs="Arial"/>
          <w:sz w:val="20"/>
          <w:szCs w:val="20"/>
        </w:rPr>
        <w:t xml:space="preserve">The </w:t>
      </w:r>
      <w:hyperlink r:id="rId9" w:history="1">
        <w:r w:rsidRPr="00C66000">
          <w:rPr>
            <w:rStyle w:val="Hyperlink"/>
            <w:rFonts w:ascii="Arial" w:hAnsi="Arial" w:cs="Arial"/>
            <w:sz w:val="20"/>
            <w:szCs w:val="20"/>
          </w:rPr>
          <w:t>Lumina Intelligence Operator Data Index</w:t>
        </w:r>
      </w:hyperlink>
      <w:r w:rsidRPr="001B2381">
        <w:rPr>
          <w:rFonts w:ascii="Arial" w:hAnsi="Arial" w:cs="Arial"/>
          <w:sz w:val="20"/>
          <w:szCs w:val="20"/>
        </w:rPr>
        <w:t xml:space="preserve"> is a tool that tracks the performance of hospitality operators, providing market rankings based on turnover and outlet numbers, segmented by sub-channels. </w:t>
      </w:r>
    </w:p>
    <w:p w14:paraId="2D76556A" w14:textId="77777777" w:rsidR="001B2381" w:rsidRPr="001B2381" w:rsidRDefault="001B2381" w:rsidP="001B2381">
      <w:pPr>
        <w:rPr>
          <w:rFonts w:ascii="Arial" w:hAnsi="Arial" w:cs="Arial"/>
          <w:sz w:val="20"/>
          <w:szCs w:val="20"/>
        </w:rPr>
      </w:pPr>
      <w:r w:rsidRPr="001B2381">
        <w:rPr>
          <w:rFonts w:ascii="Arial" w:hAnsi="Arial" w:cs="Arial"/>
          <w:sz w:val="20"/>
          <w:szCs w:val="20"/>
        </w:rPr>
        <w:t>Our Operator Data Index includes:</w:t>
      </w:r>
    </w:p>
    <w:p w14:paraId="2FB7A1EB" w14:textId="77777777" w:rsidR="001B2381" w:rsidRPr="001B2381" w:rsidRDefault="001B2381" w:rsidP="001B2381">
      <w:pPr>
        <w:pStyle w:val="ListParagraph"/>
        <w:numPr>
          <w:ilvl w:val="0"/>
          <w:numId w:val="3"/>
        </w:numPr>
        <w:rPr>
          <w:rFonts w:ascii="Arial" w:hAnsi="Arial" w:cs="Arial"/>
          <w:sz w:val="20"/>
          <w:szCs w:val="20"/>
        </w:rPr>
      </w:pPr>
      <w:r w:rsidRPr="001B2381">
        <w:rPr>
          <w:rFonts w:ascii="Arial" w:hAnsi="Arial" w:cs="Arial"/>
          <w:sz w:val="20"/>
          <w:szCs w:val="20"/>
        </w:rPr>
        <w:t>Comprehensive data on leading UK hospitality operators</w:t>
      </w:r>
    </w:p>
    <w:p w14:paraId="32CB891E" w14:textId="77777777" w:rsidR="001B2381" w:rsidRPr="001B2381" w:rsidRDefault="001B2381" w:rsidP="001B2381">
      <w:pPr>
        <w:pStyle w:val="ListParagraph"/>
        <w:numPr>
          <w:ilvl w:val="0"/>
          <w:numId w:val="3"/>
        </w:numPr>
        <w:rPr>
          <w:rFonts w:ascii="Arial" w:hAnsi="Arial" w:cs="Arial"/>
          <w:sz w:val="20"/>
          <w:szCs w:val="20"/>
        </w:rPr>
      </w:pPr>
      <w:r w:rsidRPr="001B2381">
        <w:rPr>
          <w:rFonts w:ascii="Arial" w:hAnsi="Arial" w:cs="Arial"/>
          <w:sz w:val="20"/>
          <w:szCs w:val="20"/>
        </w:rPr>
        <w:t>Access market rankings, sales and outlet counts and monthly analysis presentations.</w:t>
      </w:r>
    </w:p>
    <w:p w14:paraId="45580815" w14:textId="77777777" w:rsidR="001B2381" w:rsidRPr="001B2381" w:rsidRDefault="001B2381" w:rsidP="001B2381">
      <w:pPr>
        <w:rPr>
          <w:rFonts w:ascii="Arial" w:hAnsi="Arial" w:cs="Arial"/>
          <w:b/>
          <w:bCs/>
          <w:sz w:val="20"/>
          <w:szCs w:val="20"/>
        </w:rPr>
      </w:pPr>
    </w:p>
    <w:p w14:paraId="368BE594" w14:textId="77777777" w:rsidR="009035C6" w:rsidRPr="00885680" w:rsidRDefault="009035C6" w:rsidP="009035C6">
      <w:pPr>
        <w:rPr>
          <w:rFonts w:cstheme="minorHAnsi"/>
          <w:b/>
          <w:bCs/>
        </w:rPr>
      </w:pPr>
      <w:r w:rsidRPr="00885680">
        <w:rPr>
          <w:rFonts w:cstheme="minorHAnsi"/>
          <w:b/>
          <w:bCs/>
        </w:rPr>
        <w:t>Who We Are:</w:t>
      </w:r>
    </w:p>
    <w:p w14:paraId="2FF33B27" w14:textId="77777777" w:rsidR="009035C6" w:rsidRPr="00885680" w:rsidRDefault="009035C6" w:rsidP="009035C6">
      <w:pPr>
        <w:rPr>
          <w:rFonts w:cstheme="minorHAnsi"/>
        </w:rPr>
      </w:pPr>
      <w:hyperlink r:id="rId10" w:history="1">
        <w:r w:rsidRPr="00885680">
          <w:rPr>
            <w:rStyle w:val="Hyperlink"/>
            <w:rFonts w:cstheme="minorHAnsi"/>
          </w:rPr>
          <w:t>Lumina Intelligence</w:t>
        </w:r>
      </w:hyperlink>
      <w:r w:rsidRPr="00885680">
        <w:rPr>
          <w:rFonts w:cstheme="minorHAnsi"/>
        </w:rPr>
        <w:t xml:space="preserve"> helps food and drink brands understand their consumers and markets - so they can grow faster, plan smarter, and make better commercial decisions.</w:t>
      </w:r>
    </w:p>
    <w:p w14:paraId="21311F96" w14:textId="77777777" w:rsidR="009035C6" w:rsidRPr="00885680" w:rsidRDefault="009035C6" w:rsidP="009035C6">
      <w:pPr>
        <w:rPr>
          <w:rFonts w:cstheme="minorHAnsi"/>
        </w:rPr>
      </w:pPr>
      <w:r w:rsidRPr="00885680">
        <w:rPr>
          <w:rFonts w:cstheme="minorHAnsi"/>
        </w:rPr>
        <w:t>We specialise in insight for grocery retail and hospitality, combining trusted data with expert analysis to support your commercial, category, and insight teams.</w:t>
      </w:r>
    </w:p>
    <w:p w14:paraId="74957DDA" w14:textId="77777777" w:rsidR="009035C6" w:rsidRPr="00885680" w:rsidRDefault="009035C6" w:rsidP="009035C6">
      <w:pPr>
        <w:rPr>
          <w:rFonts w:cstheme="minorHAnsi"/>
        </w:rPr>
      </w:pPr>
      <w:hyperlink r:id="rId11" w:history="1">
        <w:r w:rsidRPr="00885680">
          <w:rPr>
            <w:rStyle w:val="Hyperlink"/>
            <w:rFonts w:cstheme="minorHAnsi"/>
          </w:rPr>
          <w:t>https://www.lumina-intelligence.com/</w:t>
        </w:r>
      </w:hyperlink>
      <w:r w:rsidRPr="00885680">
        <w:rPr>
          <w:rFonts w:cstheme="minorHAnsi"/>
        </w:rPr>
        <w:t xml:space="preserve"> </w:t>
      </w:r>
    </w:p>
    <w:p w14:paraId="1B592D21" w14:textId="77777777" w:rsidR="001B10D8" w:rsidRPr="001B2381" w:rsidRDefault="001B10D8" w:rsidP="001B10D8">
      <w:pPr>
        <w:rPr>
          <w:sz w:val="20"/>
          <w:szCs w:val="20"/>
        </w:rPr>
      </w:pPr>
    </w:p>
    <w:p w14:paraId="4C2DE03B" w14:textId="17001446" w:rsidR="001B10D8" w:rsidRPr="001B2381" w:rsidRDefault="001B10D8" w:rsidP="001B10D8">
      <w:pPr>
        <w:rPr>
          <w:sz w:val="20"/>
          <w:szCs w:val="20"/>
        </w:rPr>
      </w:pPr>
    </w:p>
    <w:p w14:paraId="791676ED" w14:textId="77777777" w:rsidR="001B10D8" w:rsidRPr="001B2381" w:rsidRDefault="001B10D8" w:rsidP="001B10D8">
      <w:pPr>
        <w:rPr>
          <w:sz w:val="20"/>
          <w:szCs w:val="20"/>
        </w:rPr>
      </w:pPr>
    </w:p>
    <w:p w14:paraId="1ACFF48D" w14:textId="2F290E8F" w:rsidR="001B10D8" w:rsidRPr="001B2381" w:rsidRDefault="001B10D8" w:rsidP="001B10D8">
      <w:pPr>
        <w:rPr>
          <w:sz w:val="20"/>
          <w:szCs w:val="20"/>
        </w:rPr>
      </w:pPr>
    </w:p>
    <w:p w14:paraId="762DC335" w14:textId="54A6C53C" w:rsidR="001B10D8" w:rsidRPr="001B2381" w:rsidRDefault="001B10D8" w:rsidP="001B10D8">
      <w:pPr>
        <w:rPr>
          <w:sz w:val="20"/>
          <w:szCs w:val="20"/>
        </w:rPr>
      </w:pPr>
    </w:p>
    <w:p w14:paraId="1CE967BD" w14:textId="77777777" w:rsidR="001B10D8" w:rsidRPr="001B10D8" w:rsidRDefault="001B10D8" w:rsidP="001B10D8">
      <w:pPr>
        <w:rPr>
          <w:b/>
          <w:bCs/>
          <w:sz w:val="20"/>
          <w:szCs w:val="20"/>
        </w:rPr>
      </w:pPr>
    </w:p>
    <w:p w14:paraId="09F8773A" w14:textId="388218C4" w:rsidR="001B10D8" w:rsidRPr="001B2381" w:rsidRDefault="001B10D8" w:rsidP="001B10D8">
      <w:pPr>
        <w:rPr>
          <w:sz w:val="20"/>
          <w:szCs w:val="20"/>
        </w:rPr>
      </w:pPr>
    </w:p>
    <w:p w14:paraId="7799E6F9" w14:textId="77777777" w:rsidR="001B10D8" w:rsidRPr="001B2381" w:rsidRDefault="001B10D8" w:rsidP="001B10D8">
      <w:pPr>
        <w:rPr>
          <w:sz w:val="20"/>
          <w:szCs w:val="20"/>
        </w:rPr>
      </w:pPr>
    </w:p>
    <w:p w14:paraId="3AFE2DA3" w14:textId="602CAAF7" w:rsidR="00D020E8" w:rsidRPr="00D020E8" w:rsidRDefault="00D020E8" w:rsidP="00D020E8">
      <w:pPr>
        <w:rPr>
          <w:sz w:val="20"/>
          <w:szCs w:val="20"/>
        </w:rPr>
      </w:pPr>
    </w:p>
    <w:p w14:paraId="6B2466F9" w14:textId="19910ED2" w:rsidR="00D020E8" w:rsidRPr="00D020E8" w:rsidRDefault="00D020E8" w:rsidP="00D020E8">
      <w:pPr>
        <w:rPr>
          <w:sz w:val="20"/>
          <w:szCs w:val="20"/>
        </w:rPr>
      </w:pPr>
    </w:p>
    <w:p w14:paraId="11B8EAEC" w14:textId="6E8F4DF3" w:rsidR="00D020E8" w:rsidRPr="001B2381" w:rsidRDefault="00D020E8" w:rsidP="00D020E8">
      <w:pPr>
        <w:rPr>
          <w:sz w:val="20"/>
          <w:szCs w:val="20"/>
        </w:rPr>
      </w:pPr>
    </w:p>
    <w:p w14:paraId="08169302" w14:textId="2171DB6B" w:rsidR="00D020E8" w:rsidRPr="001B2381" w:rsidRDefault="00D020E8" w:rsidP="00D020E8">
      <w:pPr>
        <w:rPr>
          <w:sz w:val="20"/>
          <w:szCs w:val="20"/>
        </w:rPr>
      </w:pPr>
    </w:p>
    <w:p w14:paraId="27FB4C19" w14:textId="77777777" w:rsidR="00D020E8" w:rsidRPr="001B2381" w:rsidRDefault="00D020E8" w:rsidP="00D020E8">
      <w:pPr>
        <w:rPr>
          <w:sz w:val="20"/>
          <w:szCs w:val="20"/>
        </w:rPr>
      </w:pPr>
    </w:p>
    <w:p w14:paraId="0E19870C" w14:textId="77777777" w:rsidR="00D020E8" w:rsidRPr="00D020E8" w:rsidRDefault="00D020E8" w:rsidP="00D020E8">
      <w:pPr>
        <w:rPr>
          <w:sz w:val="20"/>
          <w:szCs w:val="20"/>
        </w:rPr>
      </w:pPr>
    </w:p>
    <w:p w14:paraId="5AB2AB77" w14:textId="465A5703" w:rsidR="00D020E8" w:rsidRPr="001B2381" w:rsidRDefault="00D020E8" w:rsidP="00D020E8">
      <w:pPr>
        <w:rPr>
          <w:sz w:val="20"/>
          <w:szCs w:val="20"/>
        </w:rPr>
      </w:pPr>
    </w:p>
    <w:p w14:paraId="1850EED0" w14:textId="77777777" w:rsidR="00D020E8" w:rsidRPr="00D020E8" w:rsidRDefault="00D020E8" w:rsidP="00D020E8">
      <w:pPr>
        <w:rPr>
          <w:sz w:val="20"/>
          <w:szCs w:val="20"/>
        </w:rPr>
      </w:pPr>
    </w:p>
    <w:p w14:paraId="7AE44BAB" w14:textId="1368D364" w:rsidR="00D020E8" w:rsidRPr="001B2381" w:rsidRDefault="00D020E8">
      <w:pPr>
        <w:rPr>
          <w:sz w:val="20"/>
          <w:szCs w:val="20"/>
        </w:rPr>
      </w:pPr>
    </w:p>
    <w:sectPr w:rsidR="00D020E8" w:rsidRPr="001B2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863"/>
    <w:multiLevelType w:val="hybridMultilevel"/>
    <w:tmpl w:val="745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04AD5"/>
    <w:multiLevelType w:val="hybridMultilevel"/>
    <w:tmpl w:val="C0946170"/>
    <w:lvl w:ilvl="0" w:tplc="3F32E042">
      <w:start w:val="3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D6498"/>
    <w:multiLevelType w:val="hybridMultilevel"/>
    <w:tmpl w:val="36B405AC"/>
    <w:lvl w:ilvl="0" w:tplc="FCDABEA4">
      <w:start w:val="3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71744">
    <w:abstractNumId w:val="1"/>
  </w:num>
  <w:num w:numId="2" w16cid:durableId="237133662">
    <w:abstractNumId w:val="2"/>
  </w:num>
  <w:num w:numId="3" w16cid:durableId="155353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E8"/>
    <w:rsid w:val="00036820"/>
    <w:rsid w:val="00057592"/>
    <w:rsid w:val="00080EF1"/>
    <w:rsid w:val="000E1605"/>
    <w:rsid w:val="00112EFF"/>
    <w:rsid w:val="001A22BE"/>
    <w:rsid w:val="001B10D8"/>
    <w:rsid w:val="001B2381"/>
    <w:rsid w:val="00241BE9"/>
    <w:rsid w:val="00462EF0"/>
    <w:rsid w:val="004A6882"/>
    <w:rsid w:val="004F2E8B"/>
    <w:rsid w:val="005C7A86"/>
    <w:rsid w:val="00686181"/>
    <w:rsid w:val="006A34C3"/>
    <w:rsid w:val="00750CCB"/>
    <w:rsid w:val="007627C4"/>
    <w:rsid w:val="0083438D"/>
    <w:rsid w:val="00884BCF"/>
    <w:rsid w:val="008A36E5"/>
    <w:rsid w:val="008E3157"/>
    <w:rsid w:val="009035C6"/>
    <w:rsid w:val="009D71F2"/>
    <w:rsid w:val="009E1B32"/>
    <w:rsid w:val="00AD73F8"/>
    <w:rsid w:val="00B42B16"/>
    <w:rsid w:val="00BA2F38"/>
    <w:rsid w:val="00BA4E2C"/>
    <w:rsid w:val="00BD3727"/>
    <w:rsid w:val="00C52592"/>
    <w:rsid w:val="00C66000"/>
    <w:rsid w:val="00CB5B7B"/>
    <w:rsid w:val="00D020E8"/>
    <w:rsid w:val="00D038CF"/>
    <w:rsid w:val="00D0564E"/>
    <w:rsid w:val="00D72866"/>
    <w:rsid w:val="00DB3319"/>
    <w:rsid w:val="00DE2E6A"/>
    <w:rsid w:val="00E465FF"/>
    <w:rsid w:val="00EE0319"/>
    <w:rsid w:val="00F40E58"/>
    <w:rsid w:val="00F47067"/>
    <w:rsid w:val="00F8406B"/>
    <w:rsid w:val="00F84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7C88"/>
  <w15:chartTrackingRefBased/>
  <w15:docId w15:val="{07C68B22-C442-4D9D-93BF-C2A2CEF7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1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0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10D8"/>
    <w:pPr>
      <w:ind w:left="720"/>
      <w:contextualSpacing/>
    </w:pPr>
  </w:style>
  <w:style w:type="character" w:styleId="Hyperlink">
    <w:name w:val="Hyperlink"/>
    <w:basedOn w:val="DefaultParagraphFont"/>
    <w:uiPriority w:val="99"/>
    <w:unhideWhenUsed/>
    <w:rsid w:val="001B10D8"/>
    <w:rPr>
      <w:color w:val="0563C1" w:themeColor="hyperlink"/>
      <w:u w:val="single"/>
    </w:rPr>
  </w:style>
  <w:style w:type="character" w:styleId="UnresolvedMention">
    <w:name w:val="Unresolved Mention"/>
    <w:basedOn w:val="DefaultParagraphFont"/>
    <w:uiPriority w:val="99"/>
    <w:semiHidden/>
    <w:unhideWhenUsed/>
    <w:rsid w:val="001B10D8"/>
    <w:rPr>
      <w:color w:val="605E5C"/>
      <w:shd w:val="clear" w:color="auto" w:fill="E1DFDD"/>
    </w:rPr>
  </w:style>
  <w:style w:type="character" w:customStyle="1" w:styleId="Heading2Char">
    <w:name w:val="Heading 2 Char"/>
    <w:basedOn w:val="DefaultParagraphFont"/>
    <w:link w:val="Heading2"/>
    <w:uiPriority w:val="9"/>
    <w:semiHidden/>
    <w:rsid w:val="001B10D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12EFF"/>
    <w:rPr>
      <w:sz w:val="16"/>
      <w:szCs w:val="16"/>
    </w:rPr>
  </w:style>
  <w:style w:type="paragraph" w:styleId="CommentText">
    <w:name w:val="annotation text"/>
    <w:basedOn w:val="Normal"/>
    <w:link w:val="CommentTextChar"/>
    <w:uiPriority w:val="99"/>
    <w:unhideWhenUsed/>
    <w:rsid w:val="00112EFF"/>
    <w:pPr>
      <w:spacing w:line="240" w:lineRule="auto"/>
    </w:pPr>
    <w:rPr>
      <w:sz w:val="20"/>
      <w:szCs w:val="20"/>
    </w:rPr>
  </w:style>
  <w:style w:type="character" w:customStyle="1" w:styleId="CommentTextChar">
    <w:name w:val="Comment Text Char"/>
    <w:basedOn w:val="DefaultParagraphFont"/>
    <w:link w:val="CommentText"/>
    <w:uiPriority w:val="99"/>
    <w:rsid w:val="00112EFF"/>
    <w:rPr>
      <w:sz w:val="20"/>
      <w:szCs w:val="20"/>
    </w:rPr>
  </w:style>
  <w:style w:type="paragraph" w:styleId="CommentSubject">
    <w:name w:val="annotation subject"/>
    <w:basedOn w:val="CommentText"/>
    <w:next w:val="CommentText"/>
    <w:link w:val="CommentSubjectChar"/>
    <w:uiPriority w:val="99"/>
    <w:semiHidden/>
    <w:unhideWhenUsed/>
    <w:rsid w:val="00112EFF"/>
    <w:rPr>
      <w:b/>
      <w:bCs/>
    </w:rPr>
  </w:style>
  <w:style w:type="character" w:customStyle="1" w:styleId="CommentSubjectChar">
    <w:name w:val="Comment Subject Char"/>
    <w:basedOn w:val="CommentTextChar"/>
    <w:link w:val="CommentSubject"/>
    <w:uiPriority w:val="99"/>
    <w:semiHidden/>
    <w:rsid w:val="00112E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3979">
      <w:bodyDiv w:val="1"/>
      <w:marLeft w:val="0"/>
      <w:marRight w:val="0"/>
      <w:marTop w:val="0"/>
      <w:marBottom w:val="0"/>
      <w:divBdr>
        <w:top w:val="none" w:sz="0" w:space="0" w:color="auto"/>
        <w:left w:val="none" w:sz="0" w:space="0" w:color="auto"/>
        <w:bottom w:val="none" w:sz="0" w:space="0" w:color="auto"/>
        <w:right w:val="none" w:sz="0" w:space="0" w:color="auto"/>
      </w:divBdr>
      <w:divsChild>
        <w:div w:id="1370035695">
          <w:marLeft w:val="0"/>
          <w:marRight w:val="0"/>
          <w:marTop w:val="0"/>
          <w:marBottom w:val="264"/>
          <w:divBdr>
            <w:top w:val="none" w:sz="0" w:space="0" w:color="auto"/>
            <w:left w:val="none" w:sz="0" w:space="0" w:color="auto"/>
            <w:bottom w:val="none" w:sz="0" w:space="0" w:color="auto"/>
            <w:right w:val="none" w:sz="0" w:space="0" w:color="auto"/>
          </w:divBdr>
          <w:divsChild>
            <w:div w:id="1247108892">
              <w:marLeft w:val="0"/>
              <w:marRight w:val="0"/>
              <w:marTop w:val="0"/>
              <w:marBottom w:val="0"/>
              <w:divBdr>
                <w:top w:val="none" w:sz="0" w:space="0" w:color="auto"/>
                <w:left w:val="none" w:sz="0" w:space="0" w:color="auto"/>
                <w:bottom w:val="none" w:sz="0" w:space="0" w:color="auto"/>
                <w:right w:val="none" w:sz="0" w:space="0" w:color="auto"/>
              </w:divBdr>
            </w:div>
          </w:divsChild>
        </w:div>
        <w:div w:id="1162358751">
          <w:marLeft w:val="0"/>
          <w:marRight w:val="0"/>
          <w:marTop w:val="0"/>
          <w:marBottom w:val="264"/>
          <w:divBdr>
            <w:top w:val="none" w:sz="0" w:space="0" w:color="auto"/>
            <w:left w:val="none" w:sz="0" w:space="0" w:color="auto"/>
            <w:bottom w:val="none" w:sz="0" w:space="0" w:color="auto"/>
            <w:right w:val="none" w:sz="0" w:space="0" w:color="auto"/>
          </w:divBdr>
          <w:divsChild>
            <w:div w:id="20031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6368">
      <w:bodyDiv w:val="1"/>
      <w:marLeft w:val="0"/>
      <w:marRight w:val="0"/>
      <w:marTop w:val="0"/>
      <w:marBottom w:val="0"/>
      <w:divBdr>
        <w:top w:val="none" w:sz="0" w:space="0" w:color="auto"/>
        <w:left w:val="none" w:sz="0" w:space="0" w:color="auto"/>
        <w:bottom w:val="none" w:sz="0" w:space="0" w:color="auto"/>
        <w:right w:val="none" w:sz="0" w:space="0" w:color="auto"/>
      </w:divBdr>
    </w:div>
    <w:div w:id="836307282">
      <w:bodyDiv w:val="1"/>
      <w:marLeft w:val="0"/>
      <w:marRight w:val="0"/>
      <w:marTop w:val="0"/>
      <w:marBottom w:val="0"/>
      <w:divBdr>
        <w:top w:val="none" w:sz="0" w:space="0" w:color="auto"/>
        <w:left w:val="none" w:sz="0" w:space="0" w:color="auto"/>
        <w:bottom w:val="none" w:sz="0" w:space="0" w:color="auto"/>
        <w:right w:val="none" w:sz="0" w:space="0" w:color="auto"/>
      </w:divBdr>
    </w:div>
    <w:div w:id="1142962261">
      <w:bodyDiv w:val="1"/>
      <w:marLeft w:val="0"/>
      <w:marRight w:val="0"/>
      <w:marTop w:val="0"/>
      <w:marBottom w:val="0"/>
      <w:divBdr>
        <w:top w:val="none" w:sz="0" w:space="0" w:color="auto"/>
        <w:left w:val="none" w:sz="0" w:space="0" w:color="auto"/>
        <w:bottom w:val="none" w:sz="0" w:space="0" w:color="auto"/>
        <w:right w:val="none" w:sz="0" w:space="0" w:color="auto"/>
      </w:divBdr>
    </w:div>
    <w:div w:id="1322003210">
      <w:bodyDiv w:val="1"/>
      <w:marLeft w:val="0"/>
      <w:marRight w:val="0"/>
      <w:marTop w:val="0"/>
      <w:marBottom w:val="0"/>
      <w:divBdr>
        <w:top w:val="none" w:sz="0" w:space="0" w:color="auto"/>
        <w:left w:val="none" w:sz="0" w:space="0" w:color="auto"/>
        <w:bottom w:val="none" w:sz="0" w:space="0" w:color="auto"/>
        <w:right w:val="none" w:sz="0" w:space="0" w:color="auto"/>
      </w:divBdr>
    </w:div>
    <w:div w:id="1357151119">
      <w:bodyDiv w:val="1"/>
      <w:marLeft w:val="0"/>
      <w:marRight w:val="0"/>
      <w:marTop w:val="0"/>
      <w:marBottom w:val="0"/>
      <w:divBdr>
        <w:top w:val="none" w:sz="0" w:space="0" w:color="auto"/>
        <w:left w:val="none" w:sz="0" w:space="0" w:color="auto"/>
        <w:bottom w:val="none" w:sz="0" w:space="0" w:color="auto"/>
        <w:right w:val="none" w:sz="0" w:space="0" w:color="auto"/>
      </w:divBdr>
      <w:divsChild>
        <w:div w:id="297222865">
          <w:marLeft w:val="0"/>
          <w:marRight w:val="0"/>
          <w:marTop w:val="0"/>
          <w:marBottom w:val="264"/>
          <w:divBdr>
            <w:top w:val="none" w:sz="0" w:space="0" w:color="auto"/>
            <w:left w:val="none" w:sz="0" w:space="0" w:color="auto"/>
            <w:bottom w:val="none" w:sz="0" w:space="0" w:color="auto"/>
            <w:right w:val="none" w:sz="0" w:space="0" w:color="auto"/>
          </w:divBdr>
          <w:divsChild>
            <w:div w:id="158234569">
              <w:marLeft w:val="0"/>
              <w:marRight w:val="0"/>
              <w:marTop w:val="0"/>
              <w:marBottom w:val="0"/>
              <w:divBdr>
                <w:top w:val="none" w:sz="0" w:space="0" w:color="auto"/>
                <w:left w:val="none" w:sz="0" w:space="0" w:color="auto"/>
                <w:bottom w:val="none" w:sz="0" w:space="0" w:color="auto"/>
                <w:right w:val="none" w:sz="0" w:space="0" w:color="auto"/>
              </w:divBdr>
            </w:div>
          </w:divsChild>
        </w:div>
        <w:div w:id="1141773195">
          <w:marLeft w:val="0"/>
          <w:marRight w:val="0"/>
          <w:marTop w:val="0"/>
          <w:marBottom w:val="264"/>
          <w:divBdr>
            <w:top w:val="none" w:sz="0" w:space="0" w:color="auto"/>
            <w:left w:val="none" w:sz="0" w:space="0" w:color="auto"/>
            <w:bottom w:val="none" w:sz="0" w:space="0" w:color="auto"/>
            <w:right w:val="none" w:sz="0" w:space="0" w:color="auto"/>
          </w:divBdr>
          <w:divsChild>
            <w:div w:id="18864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9224">
      <w:bodyDiv w:val="1"/>
      <w:marLeft w:val="0"/>
      <w:marRight w:val="0"/>
      <w:marTop w:val="0"/>
      <w:marBottom w:val="0"/>
      <w:divBdr>
        <w:top w:val="none" w:sz="0" w:space="0" w:color="auto"/>
        <w:left w:val="none" w:sz="0" w:space="0" w:color="auto"/>
        <w:bottom w:val="none" w:sz="0" w:space="0" w:color="auto"/>
        <w:right w:val="none" w:sz="0" w:space="0" w:color="auto"/>
      </w:divBdr>
    </w:div>
    <w:div w:id="1390036347">
      <w:bodyDiv w:val="1"/>
      <w:marLeft w:val="0"/>
      <w:marRight w:val="0"/>
      <w:marTop w:val="0"/>
      <w:marBottom w:val="0"/>
      <w:divBdr>
        <w:top w:val="none" w:sz="0" w:space="0" w:color="auto"/>
        <w:left w:val="none" w:sz="0" w:space="0" w:color="auto"/>
        <w:bottom w:val="none" w:sz="0" w:space="0" w:color="auto"/>
        <w:right w:val="none" w:sz="0" w:space="0" w:color="auto"/>
      </w:divBdr>
    </w:div>
    <w:div w:id="1626497544">
      <w:bodyDiv w:val="1"/>
      <w:marLeft w:val="0"/>
      <w:marRight w:val="0"/>
      <w:marTop w:val="0"/>
      <w:marBottom w:val="0"/>
      <w:divBdr>
        <w:top w:val="none" w:sz="0" w:space="0" w:color="auto"/>
        <w:left w:val="none" w:sz="0" w:space="0" w:color="auto"/>
        <w:bottom w:val="none" w:sz="0" w:space="0" w:color="auto"/>
        <w:right w:val="none" w:sz="0" w:space="0" w:color="auto"/>
      </w:divBdr>
    </w:div>
    <w:div w:id="20987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ina-intelligence.com/product/operator-data-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mina-intelligence.com/product/operator-data-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hyperlink" Target="https://www.lumina-intelligence.com/" TargetMode="Externa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lumina-intelligence.com/product/operator-da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4</cp:revision>
  <dcterms:created xsi:type="dcterms:W3CDTF">2026-01-06T11:31:00Z</dcterms:created>
  <dcterms:modified xsi:type="dcterms:W3CDTF">2026-01-12T15:15:00Z</dcterms:modified>
</cp:coreProperties>
</file>