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7615" w14:textId="77777777" w:rsidR="0069450B" w:rsidRPr="008B64C2" w:rsidRDefault="0069450B" w:rsidP="0069450B">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5ECED215" wp14:editId="0CF49017">
            <wp:simplePos x="0" y="0"/>
            <wp:positionH relativeFrom="margin">
              <wp:align>right</wp:align>
            </wp:positionH>
            <wp:positionV relativeFrom="paragraph">
              <wp:posOffset>6985</wp:posOffset>
            </wp:positionV>
            <wp:extent cx="1623060" cy="967105"/>
            <wp:effectExtent l="0" t="0" r="0" b="0"/>
            <wp:wrapTight wrapText="bothSides">
              <wp:wrapPolygon edited="0">
                <wp:start x="11662" y="2553"/>
                <wp:lineTo x="2282" y="3404"/>
                <wp:lineTo x="1521" y="3829"/>
                <wp:lineTo x="1521" y="16594"/>
                <wp:lineTo x="2028" y="17019"/>
                <wp:lineTo x="7859" y="17019"/>
                <wp:lineTo x="8366" y="18721"/>
                <wp:lineTo x="9634" y="18721"/>
                <wp:lineTo x="10141" y="17019"/>
                <wp:lineTo x="15211" y="17019"/>
                <wp:lineTo x="20028" y="13615"/>
                <wp:lineTo x="20028" y="6382"/>
                <wp:lineTo x="18254" y="4680"/>
                <wp:lineTo x="13183" y="2553"/>
                <wp:lineTo x="11662" y="255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3060" cy="967105"/>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3DE5B994" w14:textId="77777777" w:rsidR="0069450B" w:rsidRPr="008B64C2" w:rsidRDefault="0069450B" w:rsidP="0069450B">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310D3437" w14:textId="77777777" w:rsidR="0069450B" w:rsidRPr="008B64C2" w:rsidRDefault="0069450B" w:rsidP="0069450B">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Monica Rico</w:t>
      </w:r>
    </w:p>
    <w:p w14:paraId="6298E677" w14:textId="77777777" w:rsidR="0069450B" w:rsidRPr="008B64C2" w:rsidRDefault="0069450B" w:rsidP="0069450B">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07423555808</w:t>
      </w:r>
    </w:p>
    <w:p w14:paraId="1ECE3DD2" w14:textId="487DCCBA" w:rsidR="0069450B" w:rsidRPr="008B64C2" w:rsidRDefault="00AD7C42" w:rsidP="0069450B">
      <w:pPr>
        <w:spacing w:after="0" w:line="240" w:lineRule="auto"/>
        <w:rPr>
          <w:rStyle w:val="Hyperlink"/>
          <w:rFonts w:asciiTheme="majorHAnsi" w:hAnsiTheme="majorHAnsi" w:cstheme="majorHAnsi"/>
          <w:color w:val="505050"/>
          <w:sz w:val="20"/>
          <w:szCs w:val="20"/>
        </w:rPr>
      </w:pPr>
      <w:hyperlink r:id="rId6" w:history="1">
        <w:r w:rsidRPr="00B110D2">
          <w:rPr>
            <w:rStyle w:val="Hyperlink"/>
            <w:rFonts w:asciiTheme="majorHAnsi" w:hAnsiTheme="majorHAnsi" w:cstheme="majorHAnsi"/>
            <w:b/>
            <w:bCs/>
            <w:sz w:val="20"/>
            <w:szCs w:val="20"/>
          </w:rPr>
          <w:t>monica.ricocastrillo@wrbm.com</w:t>
        </w:r>
      </w:hyperlink>
      <w:r>
        <w:rPr>
          <w:rFonts w:asciiTheme="majorHAnsi" w:hAnsiTheme="majorHAnsi" w:cstheme="majorHAnsi"/>
          <w:b/>
          <w:bCs/>
          <w:sz w:val="20"/>
          <w:szCs w:val="20"/>
        </w:rPr>
        <w:t xml:space="preserve"> </w:t>
      </w:r>
    </w:p>
    <w:p w14:paraId="69266BEA" w14:textId="77777777" w:rsidR="0069450B" w:rsidRPr="008B64C2" w:rsidRDefault="0069450B" w:rsidP="0069450B">
      <w:pPr>
        <w:spacing w:after="0" w:line="240" w:lineRule="auto"/>
        <w:rPr>
          <w:rFonts w:asciiTheme="majorHAnsi" w:hAnsiTheme="majorHAnsi" w:cstheme="majorHAnsi"/>
          <w:sz w:val="20"/>
          <w:szCs w:val="20"/>
          <w:u w:val="single"/>
        </w:rPr>
      </w:pPr>
    </w:p>
    <w:p w14:paraId="0206ECEB" w14:textId="4B2D9249" w:rsidR="0069450B" w:rsidRPr="00211178" w:rsidRDefault="008017EF" w:rsidP="0069450B">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9</w:t>
      </w:r>
      <w:r w:rsidR="00C91B33">
        <w:rPr>
          <w:rFonts w:asciiTheme="majorHAnsi" w:hAnsiTheme="majorHAnsi" w:cstheme="majorHAnsi"/>
          <w:b/>
          <w:bCs/>
          <w:sz w:val="20"/>
          <w:szCs w:val="20"/>
          <w:u w:val="single"/>
        </w:rPr>
        <w:t>th</w:t>
      </w:r>
      <w:r w:rsidR="00AB4BB1">
        <w:rPr>
          <w:rFonts w:asciiTheme="majorHAnsi" w:hAnsiTheme="majorHAnsi" w:cstheme="majorHAnsi"/>
          <w:b/>
          <w:bCs/>
          <w:sz w:val="20"/>
          <w:szCs w:val="20"/>
          <w:u w:val="single"/>
        </w:rPr>
        <w:t xml:space="preserve"> </w:t>
      </w:r>
      <w:r w:rsidR="00B30E2F">
        <w:rPr>
          <w:rFonts w:asciiTheme="majorHAnsi" w:hAnsiTheme="majorHAnsi" w:cstheme="majorHAnsi"/>
          <w:b/>
          <w:bCs/>
          <w:sz w:val="20"/>
          <w:szCs w:val="20"/>
          <w:u w:val="single"/>
        </w:rPr>
        <w:t>March</w:t>
      </w:r>
      <w:r w:rsidR="0069450B" w:rsidRPr="008B64C2">
        <w:rPr>
          <w:rFonts w:asciiTheme="majorHAnsi" w:hAnsiTheme="majorHAnsi" w:cstheme="majorHAnsi"/>
          <w:b/>
          <w:bCs/>
          <w:sz w:val="20"/>
          <w:szCs w:val="20"/>
          <w:u w:val="single"/>
        </w:rPr>
        <w:t xml:space="preserve"> 202</w:t>
      </w:r>
      <w:r>
        <w:rPr>
          <w:rFonts w:asciiTheme="majorHAnsi" w:hAnsiTheme="majorHAnsi" w:cstheme="majorHAnsi"/>
          <w:b/>
          <w:bCs/>
          <w:sz w:val="20"/>
          <w:szCs w:val="20"/>
          <w:u w:val="single"/>
        </w:rPr>
        <w:t>6</w:t>
      </w:r>
    </w:p>
    <w:p w14:paraId="3DEE9F24" w14:textId="50A6416C" w:rsidR="0069450B" w:rsidRDefault="0069450B" w:rsidP="003C3267">
      <w:pPr>
        <w:rPr>
          <w:b/>
          <w:bCs/>
        </w:rPr>
      </w:pPr>
    </w:p>
    <w:p w14:paraId="702B5FAC" w14:textId="77777777" w:rsidR="00066D42" w:rsidRDefault="00066D42" w:rsidP="00066D42">
      <w:pPr>
        <w:rPr>
          <w:b/>
          <w:bCs/>
          <w:sz w:val="28"/>
          <w:szCs w:val="28"/>
        </w:rPr>
      </w:pPr>
    </w:p>
    <w:p w14:paraId="78C549FC" w14:textId="3111B58A" w:rsidR="00DD4F92" w:rsidRDefault="0061000D" w:rsidP="00066D42">
      <w:r w:rsidRPr="0061000D">
        <w:rPr>
          <w:b/>
          <w:bCs/>
          <w:sz w:val="28"/>
          <w:szCs w:val="28"/>
        </w:rPr>
        <w:t>UK food-to-go market set to reach £24.9bn in 2026, ahead of wider eating-out sector</w:t>
      </w:r>
    </w:p>
    <w:p w14:paraId="155405BC" w14:textId="77777777" w:rsidR="0061000D" w:rsidRDefault="0061000D" w:rsidP="0061000D"/>
    <w:p w14:paraId="49339418" w14:textId="71E0464C" w:rsidR="0061000D" w:rsidRPr="0061000D" w:rsidRDefault="0061000D" w:rsidP="0061000D">
      <w:r w:rsidRPr="0061000D">
        <w:t xml:space="preserve">The UK food-to-go market is set to reach </w:t>
      </w:r>
      <w:r w:rsidRPr="0061000D">
        <w:rPr>
          <w:b/>
          <w:bCs/>
        </w:rPr>
        <w:t>£24.9bn in 2026</w:t>
      </w:r>
      <w:r w:rsidRPr="0061000D">
        <w:t xml:space="preserve">, growing ahead of the wider eating-out sector as consumer demand for convenient, high-quality options continues to evolve, according to the latest </w:t>
      </w:r>
      <w:hyperlink r:id="rId7" w:history="1">
        <w:r w:rsidRPr="0061000D">
          <w:rPr>
            <w:rStyle w:val="Hyperlink"/>
            <w:b/>
            <w:bCs/>
          </w:rPr>
          <w:t>Lumina Intelligence UK Food to Go Market Report 2026</w:t>
        </w:r>
      </w:hyperlink>
      <w:r w:rsidRPr="0061000D">
        <w:t>.</w:t>
      </w:r>
    </w:p>
    <w:p w14:paraId="5AC529AB" w14:textId="77777777" w:rsidR="0061000D" w:rsidRPr="0061000D" w:rsidRDefault="0061000D" w:rsidP="0061000D">
      <w:r w:rsidRPr="0061000D">
        <w:t xml:space="preserve">While the sector remains resilient, the drivers of growth are shifting. Rather than more consumers entering the market, expansion is increasingly being driven by </w:t>
      </w:r>
      <w:r w:rsidRPr="0061000D">
        <w:rPr>
          <w:b/>
          <w:bCs/>
        </w:rPr>
        <w:t>higher spend per visit</w:t>
      </w:r>
      <w:r w:rsidRPr="0061000D">
        <w:t xml:space="preserve">, with more affluent professionals turning to food-to-go as a convenient alternative to restaurant dining. At the same time, consumer expectations are changing, with </w:t>
      </w:r>
      <w:r w:rsidRPr="0061000D">
        <w:rPr>
          <w:b/>
          <w:bCs/>
        </w:rPr>
        <w:t>quality now overtaking value as the most important purchase driver</w:t>
      </w:r>
      <w:r w:rsidRPr="0061000D">
        <w:t>, reflecting demand for better ingredients, functional health benefits and more personalised offers.</w:t>
      </w:r>
    </w:p>
    <w:p w14:paraId="58DC73DD" w14:textId="77777777" w:rsidR="0061000D" w:rsidRPr="0061000D" w:rsidRDefault="0061000D" w:rsidP="0061000D">
      <w:r w:rsidRPr="0061000D">
        <w:t xml:space="preserve">The report also highlights how rising operating costs are reshaping operator strategies. With labour costs increasing, food prices remaining elevated and outlet expansion slowing, brands are focusing more heavily on </w:t>
      </w:r>
      <w:r w:rsidRPr="0061000D">
        <w:rPr>
          <w:b/>
          <w:bCs/>
        </w:rPr>
        <w:t>technology, format innovation and smarter pricing structures</w:t>
      </w:r>
      <w:r w:rsidRPr="0061000D">
        <w:t xml:space="preserve"> to sustain profitability.</w:t>
      </w:r>
    </w:p>
    <w:p w14:paraId="1C55D0F6" w14:textId="77777777" w:rsidR="0061000D" w:rsidRPr="0061000D" w:rsidRDefault="0061000D" w:rsidP="0061000D">
      <w:r w:rsidRPr="0061000D">
        <w:t xml:space="preserve">Despite these challenges, the outlook for the sector remains positive. The market is forecast to continue expanding through the rest of the decade, with </w:t>
      </w:r>
      <w:r w:rsidRPr="0061000D">
        <w:rPr>
          <w:b/>
          <w:bCs/>
        </w:rPr>
        <w:t>travel locations, contemporary fast food brands and coffee shop operators</w:t>
      </w:r>
      <w:r w:rsidRPr="0061000D">
        <w:t xml:space="preserve"> expected to deliver some of the strongest growth as commuter activity and demand for convenient, premium products increase.</w:t>
      </w:r>
    </w:p>
    <w:p w14:paraId="233E2185" w14:textId="77777777" w:rsidR="0061000D" w:rsidRPr="0061000D" w:rsidRDefault="0061000D" w:rsidP="0061000D">
      <w:r w:rsidRPr="0061000D">
        <w:t xml:space="preserve">Commenting on the findings, </w:t>
      </w:r>
      <w:r w:rsidRPr="0061000D">
        <w:rPr>
          <w:b/>
          <w:bCs/>
        </w:rPr>
        <w:t>Linda Haden, Insight Lead at Lumina Intelligence</w:t>
      </w:r>
      <w:r w:rsidRPr="0061000D">
        <w:t>, said:</w:t>
      </w:r>
      <w:r w:rsidRPr="0061000D">
        <w:br/>
      </w:r>
      <w:r w:rsidRPr="0061000D">
        <w:rPr>
          <w:i/>
          <w:iCs/>
        </w:rPr>
        <w:t>"The UK food-to-go market remains structurally resilient, but the way growth is being generated is changing. We’re seeing consumers spend more per visit as expectations around quality, health and personalisation rise. At the same time, operators are navigating a more complex cost environment, which means innovation in formats, pricing and technology will be critical to sustaining growth in the years ahead."</w:t>
      </w:r>
    </w:p>
    <w:p w14:paraId="392321D1" w14:textId="765E9FB9" w:rsidR="00066D42" w:rsidRDefault="00066D42" w:rsidP="008017EF"/>
    <w:p w14:paraId="31F070BC" w14:textId="0F3AA93F" w:rsidR="0069450B" w:rsidRDefault="0069450B" w:rsidP="003C3267">
      <w:r>
        <w:t>ENDS</w:t>
      </w:r>
    </w:p>
    <w:p w14:paraId="587B7EF2" w14:textId="14C1F870" w:rsidR="0069450B" w:rsidRDefault="0069450B" w:rsidP="003C3267"/>
    <w:p w14:paraId="7B72485D" w14:textId="77777777" w:rsidR="0069450B" w:rsidRDefault="0069450B" w:rsidP="0069450B">
      <w:pPr>
        <w:rPr>
          <w:rFonts w:cstheme="minorHAnsi"/>
          <w:b/>
          <w:bCs/>
        </w:rPr>
      </w:pPr>
      <w:r w:rsidRPr="00C87FF4">
        <w:rPr>
          <w:rFonts w:cstheme="minorHAnsi"/>
          <w:b/>
          <w:bCs/>
        </w:rPr>
        <w:t>Report Methodology</w:t>
      </w:r>
    </w:p>
    <w:p w14:paraId="145B3DF3" w14:textId="5132B636" w:rsidR="00AF62A2" w:rsidRPr="00AF62A2" w:rsidRDefault="0069450B" w:rsidP="00AF62A2">
      <w:r w:rsidRPr="00EF4E47">
        <w:t xml:space="preserve">The </w:t>
      </w:r>
      <w:hyperlink r:id="rId8" w:history="1">
        <w:r w:rsidRPr="0061000D">
          <w:rPr>
            <w:rStyle w:val="Hyperlink"/>
          </w:rPr>
          <w:t xml:space="preserve">Lumina Intelligence </w:t>
        </w:r>
        <w:r w:rsidR="00066D42" w:rsidRPr="0061000D">
          <w:rPr>
            <w:rStyle w:val="Hyperlink"/>
          </w:rPr>
          <w:t>Food to Go Market Report</w:t>
        </w:r>
        <w:r w:rsidR="0061000D" w:rsidRPr="0061000D">
          <w:rPr>
            <w:rStyle w:val="Hyperlink"/>
          </w:rPr>
          <w:t xml:space="preserve"> 2026</w:t>
        </w:r>
      </w:hyperlink>
      <w:r w:rsidR="0061000D">
        <w:t xml:space="preserve"> </w:t>
      </w:r>
      <w:r w:rsidR="00AF62A2" w:rsidRPr="00AF62A2">
        <w:t>delivers a comprehensive view of a sector navigating cost pressures, evolving consumer routines and sustained demand for convenience.</w:t>
      </w:r>
    </w:p>
    <w:p w14:paraId="0B644C00" w14:textId="77777777" w:rsidR="00AF62A2" w:rsidRPr="00AF62A2" w:rsidRDefault="00AF62A2" w:rsidP="00AF62A2">
      <w:r w:rsidRPr="00AF62A2">
        <w:lastRenderedPageBreak/>
        <w:t>Positioned as both a review of recent market performance and a forward-looking outlook to 2028, the report equips operators, suppliers and investors with the insight needed to understand shifting demand, refine proposition strategy and make confident decisions in the evolving food-to-go landscape.</w:t>
      </w:r>
    </w:p>
    <w:p w14:paraId="21C462BC" w14:textId="77777777" w:rsidR="00AF62A2" w:rsidRPr="00AF62A2" w:rsidRDefault="00AF62A2" w:rsidP="00AF62A2">
      <w:pPr>
        <w:rPr>
          <w:vanish/>
        </w:rPr>
      </w:pPr>
      <w:r w:rsidRPr="00AF62A2">
        <w:rPr>
          <w:vanish/>
        </w:rPr>
        <w:t>Top of Form</w:t>
      </w:r>
    </w:p>
    <w:p w14:paraId="6A4F0374" w14:textId="060C8BC2" w:rsidR="0069450B" w:rsidRDefault="0069450B" w:rsidP="0069450B"/>
    <w:p w14:paraId="74447A17" w14:textId="77777777" w:rsidR="0069450B" w:rsidRDefault="0069450B" w:rsidP="0069450B">
      <w:r>
        <w:t xml:space="preserve">The report’s methodology is as follows: </w:t>
      </w:r>
    </w:p>
    <w:p w14:paraId="061656EF" w14:textId="77777777" w:rsidR="00AF62A2" w:rsidRPr="00AF62A2" w:rsidRDefault="00AF62A2" w:rsidP="00AF62A2">
      <w:pPr>
        <w:numPr>
          <w:ilvl w:val="0"/>
          <w:numId w:val="3"/>
        </w:numPr>
      </w:pPr>
      <w:r w:rsidRPr="00AF62A2">
        <w:t>Eating &amp; Drinking Out Panel – Weekly tracking of the behaviour of 1,500 nationally representative UK consumers, building an annual sample of around 78,000 occasions across all eating out channels and dayparts, including snacking (2020–2026).</w:t>
      </w:r>
    </w:p>
    <w:p w14:paraId="2211C539" w14:textId="77777777" w:rsidR="00AF62A2" w:rsidRPr="00AF62A2" w:rsidRDefault="00AF62A2" w:rsidP="00AF62A2">
      <w:pPr>
        <w:numPr>
          <w:ilvl w:val="0"/>
          <w:numId w:val="3"/>
        </w:numPr>
      </w:pPr>
      <w:r w:rsidRPr="00AF62A2">
        <w:t>Market Sizing &amp; Operator Data Index – Market sizing analysis of hospitality and grocery operators using turnover and outlet data, combined with Lumina Intelligence’s Operator Data Index tracking and forecasting performance for 400+ brands (2018–2029F).</w:t>
      </w:r>
    </w:p>
    <w:p w14:paraId="1EC7F09A" w14:textId="77777777" w:rsidR="00AF62A2" w:rsidRPr="00AF62A2" w:rsidRDefault="00AF62A2" w:rsidP="00AF62A2">
      <w:pPr>
        <w:numPr>
          <w:ilvl w:val="0"/>
          <w:numId w:val="3"/>
        </w:numPr>
      </w:pPr>
      <w:r w:rsidRPr="00AF62A2">
        <w:t>Bespoke Product Data Collection – Primary research with leading food-to-go operators, surveying product ranges in January 2025 and benchmarking findings against January 2024.</w:t>
      </w:r>
    </w:p>
    <w:p w14:paraId="77661610" w14:textId="77777777" w:rsidR="00AF62A2" w:rsidRPr="00AF62A2" w:rsidRDefault="00AF62A2" w:rsidP="00AF62A2">
      <w:pPr>
        <w:numPr>
          <w:ilvl w:val="0"/>
          <w:numId w:val="3"/>
        </w:numPr>
      </w:pPr>
      <w:r w:rsidRPr="00AF62A2">
        <w:t>Secondary External Sources – Supplementary macroeconomic and consumer indicators including desk research, GfK Consumer Confidence Index and EY Item Club economic forecasts.</w:t>
      </w:r>
    </w:p>
    <w:p w14:paraId="7256483B" w14:textId="77777777" w:rsidR="0069450B" w:rsidRPr="008A4EFB" w:rsidRDefault="0069450B" w:rsidP="0069450B"/>
    <w:p w14:paraId="0D1420B2" w14:textId="77777777" w:rsidR="00AF62A2" w:rsidRPr="00550F8E" w:rsidRDefault="00AF62A2" w:rsidP="00AF62A2">
      <w:pPr>
        <w:rPr>
          <w:b/>
          <w:bCs/>
        </w:rPr>
      </w:pPr>
      <w:r w:rsidRPr="00550F8E">
        <w:rPr>
          <w:b/>
          <w:bCs/>
        </w:rPr>
        <w:t>Who We Are:</w:t>
      </w:r>
    </w:p>
    <w:p w14:paraId="583702B0" w14:textId="77777777" w:rsidR="00AF62A2" w:rsidRDefault="00AF62A2" w:rsidP="00AF62A2">
      <w:hyperlink r:id="rId9"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516EFDDB" w14:textId="77777777" w:rsidR="00AF62A2" w:rsidRDefault="00AF62A2" w:rsidP="00AF62A2">
      <w:r>
        <w:t>We specialise in insight for grocery retail and hospitality, combining trusted data with expert analysis to support your commercial, category, and insight teams.</w:t>
      </w:r>
    </w:p>
    <w:p w14:paraId="2A0D8989" w14:textId="77777777" w:rsidR="00AF62A2" w:rsidRDefault="00AF62A2" w:rsidP="00AF62A2">
      <w:hyperlink r:id="rId10" w:history="1">
        <w:r w:rsidRPr="008F235E">
          <w:rPr>
            <w:rStyle w:val="Hyperlink"/>
          </w:rPr>
          <w:t>https://www.lumina-intelligence.com/</w:t>
        </w:r>
      </w:hyperlink>
      <w:r>
        <w:t xml:space="preserve"> </w:t>
      </w:r>
    </w:p>
    <w:p w14:paraId="6462117A" w14:textId="77777777" w:rsidR="00AF62A2" w:rsidRDefault="00AF62A2" w:rsidP="00AF62A2"/>
    <w:p w14:paraId="172CC7C6" w14:textId="77777777" w:rsidR="0069450B" w:rsidRDefault="0069450B" w:rsidP="0069450B"/>
    <w:p w14:paraId="7D7A6BC7" w14:textId="33FAE9DE" w:rsidR="0069450B" w:rsidRDefault="00EC43F8" w:rsidP="0069450B">
      <w:r>
        <w:br w:type="page"/>
      </w:r>
    </w:p>
    <w:p w14:paraId="70649117" w14:textId="77777777" w:rsidR="0069450B" w:rsidRDefault="0069450B" w:rsidP="003C3267"/>
    <w:sectPr w:rsidR="00694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39AD"/>
    <w:multiLevelType w:val="multilevel"/>
    <w:tmpl w:val="BBD6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34A4F"/>
    <w:multiLevelType w:val="multilevel"/>
    <w:tmpl w:val="E94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87C68"/>
    <w:multiLevelType w:val="hybridMultilevel"/>
    <w:tmpl w:val="0976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158596">
    <w:abstractNumId w:val="2"/>
  </w:num>
  <w:num w:numId="2" w16cid:durableId="1419909051">
    <w:abstractNumId w:val="1"/>
  </w:num>
  <w:num w:numId="3" w16cid:durableId="51927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67"/>
    <w:rsid w:val="0006149F"/>
    <w:rsid w:val="00066D42"/>
    <w:rsid w:val="000E7F63"/>
    <w:rsid w:val="003C3267"/>
    <w:rsid w:val="004F2EAF"/>
    <w:rsid w:val="0061000D"/>
    <w:rsid w:val="0069450B"/>
    <w:rsid w:val="007F0648"/>
    <w:rsid w:val="008017EF"/>
    <w:rsid w:val="008D2013"/>
    <w:rsid w:val="008F5C8A"/>
    <w:rsid w:val="009976D5"/>
    <w:rsid w:val="00AB4BB1"/>
    <w:rsid w:val="00AC5967"/>
    <w:rsid w:val="00AD7C42"/>
    <w:rsid w:val="00AF62A2"/>
    <w:rsid w:val="00B30E2F"/>
    <w:rsid w:val="00C531B0"/>
    <w:rsid w:val="00C91B33"/>
    <w:rsid w:val="00CB3E9D"/>
    <w:rsid w:val="00D4246A"/>
    <w:rsid w:val="00D74AF9"/>
    <w:rsid w:val="00DD4F92"/>
    <w:rsid w:val="00E465FF"/>
    <w:rsid w:val="00EC4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A8A5"/>
  <w15:chartTrackingRefBased/>
  <w15:docId w15:val="{42F4D0B8-C891-4C4F-81BD-7D5FD9B0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50B"/>
    <w:rPr>
      <w:color w:val="0563C1" w:themeColor="hyperlink"/>
      <w:u w:val="single"/>
    </w:rPr>
  </w:style>
  <w:style w:type="paragraph" w:styleId="ListParagraph">
    <w:name w:val="List Paragraph"/>
    <w:basedOn w:val="Normal"/>
    <w:uiPriority w:val="34"/>
    <w:qFormat/>
    <w:rsid w:val="0069450B"/>
    <w:pPr>
      <w:ind w:left="720"/>
      <w:contextualSpacing/>
    </w:pPr>
  </w:style>
  <w:style w:type="character" w:styleId="UnresolvedMention">
    <w:name w:val="Unresolved Mention"/>
    <w:basedOn w:val="DefaultParagraphFont"/>
    <w:uiPriority w:val="99"/>
    <w:semiHidden/>
    <w:unhideWhenUsed/>
    <w:rsid w:val="0069450B"/>
    <w:rPr>
      <w:color w:val="605E5C"/>
      <w:shd w:val="clear" w:color="auto" w:fill="E1DFDD"/>
    </w:rPr>
  </w:style>
  <w:style w:type="character" w:styleId="CommentReference">
    <w:name w:val="annotation reference"/>
    <w:basedOn w:val="DefaultParagraphFont"/>
    <w:uiPriority w:val="99"/>
    <w:semiHidden/>
    <w:unhideWhenUsed/>
    <w:rsid w:val="007F0648"/>
    <w:rPr>
      <w:sz w:val="16"/>
      <w:szCs w:val="16"/>
    </w:rPr>
  </w:style>
  <w:style w:type="paragraph" w:styleId="CommentText">
    <w:name w:val="annotation text"/>
    <w:basedOn w:val="Normal"/>
    <w:link w:val="CommentTextChar"/>
    <w:uiPriority w:val="99"/>
    <w:semiHidden/>
    <w:unhideWhenUsed/>
    <w:rsid w:val="007F0648"/>
    <w:pPr>
      <w:spacing w:line="240" w:lineRule="auto"/>
    </w:pPr>
    <w:rPr>
      <w:sz w:val="20"/>
      <w:szCs w:val="20"/>
    </w:rPr>
  </w:style>
  <w:style w:type="character" w:customStyle="1" w:styleId="CommentTextChar">
    <w:name w:val="Comment Text Char"/>
    <w:basedOn w:val="DefaultParagraphFont"/>
    <w:link w:val="CommentText"/>
    <w:uiPriority w:val="99"/>
    <w:semiHidden/>
    <w:rsid w:val="007F0648"/>
    <w:rPr>
      <w:sz w:val="20"/>
      <w:szCs w:val="20"/>
    </w:rPr>
  </w:style>
  <w:style w:type="paragraph" w:styleId="CommentSubject">
    <w:name w:val="annotation subject"/>
    <w:basedOn w:val="CommentText"/>
    <w:next w:val="CommentText"/>
    <w:link w:val="CommentSubjectChar"/>
    <w:uiPriority w:val="99"/>
    <w:semiHidden/>
    <w:unhideWhenUsed/>
    <w:rsid w:val="007F0648"/>
    <w:rPr>
      <w:b/>
      <w:bCs/>
    </w:rPr>
  </w:style>
  <w:style w:type="character" w:customStyle="1" w:styleId="CommentSubjectChar">
    <w:name w:val="Comment Subject Char"/>
    <w:basedOn w:val="CommentTextChar"/>
    <w:link w:val="CommentSubject"/>
    <w:uiPriority w:val="99"/>
    <w:semiHidden/>
    <w:rsid w:val="007F0648"/>
    <w:rPr>
      <w:b/>
      <w:bCs/>
      <w:sz w:val="20"/>
      <w:szCs w:val="20"/>
    </w:rPr>
  </w:style>
  <w:style w:type="paragraph" w:styleId="NormalWeb">
    <w:name w:val="Normal (Web)"/>
    <w:basedOn w:val="Normal"/>
    <w:uiPriority w:val="99"/>
    <w:semiHidden/>
    <w:unhideWhenUsed/>
    <w:rsid w:val="008017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0295">
      <w:bodyDiv w:val="1"/>
      <w:marLeft w:val="0"/>
      <w:marRight w:val="0"/>
      <w:marTop w:val="0"/>
      <w:marBottom w:val="0"/>
      <w:divBdr>
        <w:top w:val="none" w:sz="0" w:space="0" w:color="auto"/>
        <w:left w:val="none" w:sz="0" w:space="0" w:color="auto"/>
        <w:bottom w:val="none" w:sz="0" w:space="0" w:color="auto"/>
        <w:right w:val="none" w:sz="0" w:space="0" w:color="auto"/>
      </w:divBdr>
      <w:divsChild>
        <w:div w:id="835926837">
          <w:marLeft w:val="0"/>
          <w:marRight w:val="0"/>
          <w:marTop w:val="0"/>
          <w:marBottom w:val="0"/>
          <w:divBdr>
            <w:top w:val="none" w:sz="0" w:space="0" w:color="auto"/>
            <w:left w:val="none" w:sz="0" w:space="0" w:color="auto"/>
            <w:bottom w:val="none" w:sz="0" w:space="0" w:color="auto"/>
            <w:right w:val="none" w:sz="0" w:space="0" w:color="auto"/>
          </w:divBdr>
        </w:div>
      </w:divsChild>
    </w:div>
    <w:div w:id="290399609">
      <w:bodyDiv w:val="1"/>
      <w:marLeft w:val="0"/>
      <w:marRight w:val="0"/>
      <w:marTop w:val="0"/>
      <w:marBottom w:val="0"/>
      <w:divBdr>
        <w:top w:val="none" w:sz="0" w:space="0" w:color="auto"/>
        <w:left w:val="none" w:sz="0" w:space="0" w:color="auto"/>
        <w:bottom w:val="none" w:sz="0" w:space="0" w:color="auto"/>
        <w:right w:val="none" w:sz="0" w:space="0" w:color="auto"/>
      </w:divBdr>
    </w:div>
    <w:div w:id="327288495">
      <w:bodyDiv w:val="1"/>
      <w:marLeft w:val="0"/>
      <w:marRight w:val="0"/>
      <w:marTop w:val="0"/>
      <w:marBottom w:val="0"/>
      <w:divBdr>
        <w:top w:val="none" w:sz="0" w:space="0" w:color="auto"/>
        <w:left w:val="none" w:sz="0" w:space="0" w:color="auto"/>
        <w:bottom w:val="none" w:sz="0" w:space="0" w:color="auto"/>
        <w:right w:val="none" w:sz="0" w:space="0" w:color="auto"/>
      </w:divBdr>
    </w:div>
    <w:div w:id="452480038">
      <w:bodyDiv w:val="1"/>
      <w:marLeft w:val="0"/>
      <w:marRight w:val="0"/>
      <w:marTop w:val="0"/>
      <w:marBottom w:val="0"/>
      <w:divBdr>
        <w:top w:val="none" w:sz="0" w:space="0" w:color="auto"/>
        <w:left w:val="none" w:sz="0" w:space="0" w:color="auto"/>
        <w:bottom w:val="none" w:sz="0" w:space="0" w:color="auto"/>
        <w:right w:val="none" w:sz="0" w:space="0" w:color="auto"/>
      </w:divBdr>
    </w:div>
    <w:div w:id="665013854">
      <w:bodyDiv w:val="1"/>
      <w:marLeft w:val="0"/>
      <w:marRight w:val="0"/>
      <w:marTop w:val="0"/>
      <w:marBottom w:val="0"/>
      <w:divBdr>
        <w:top w:val="none" w:sz="0" w:space="0" w:color="auto"/>
        <w:left w:val="none" w:sz="0" w:space="0" w:color="auto"/>
        <w:bottom w:val="none" w:sz="0" w:space="0" w:color="auto"/>
        <w:right w:val="none" w:sz="0" w:space="0" w:color="auto"/>
      </w:divBdr>
    </w:div>
    <w:div w:id="1100880746">
      <w:bodyDiv w:val="1"/>
      <w:marLeft w:val="0"/>
      <w:marRight w:val="0"/>
      <w:marTop w:val="0"/>
      <w:marBottom w:val="0"/>
      <w:divBdr>
        <w:top w:val="none" w:sz="0" w:space="0" w:color="auto"/>
        <w:left w:val="none" w:sz="0" w:space="0" w:color="auto"/>
        <w:bottom w:val="none" w:sz="0" w:space="0" w:color="auto"/>
        <w:right w:val="none" w:sz="0" w:space="0" w:color="auto"/>
      </w:divBdr>
    </w:div>
    <w:div w:id="1115322923">
      <w:bodyDiv w:val="1"/>
      <w:marLeft w:val="0"/>
      <w:marRight w:val="0"/>
      <w:marTop w:val="0"/>
      <w:marBottom w:val="0"/>
      <w:divBdr>
        <w:top w:val="none" w:sz="0" w:space="0" w:color="auto"/>
        <w:left w:val="none" w:sz="0" w:space="0" w:color="auto"/>
        <w:bottom w:val="none" w:sz="0" w:space="0" w:color="auto"/>
        <w:right w:val="none" w:sz="0" w:space="0" w:color="auto"/>
      </w:divBdr>
      <w:divsChild>
        <w:div w:id="235559607">
          <w:marLeft w:val="0"/>
          <w:marRight w:val="0"/>
          <w:marTop w:val="0"/>
          <w:marBottom w:val="0"/>
          <w:divBdr>
            <w:top w:val="none" w:sz="0" w:space="0" w:color="auto"/>
            <w:left w:val="none" w:sz="0" w:space="0" w:color="auto"/>
            <w:bottom w:val="none" w:sz="0" w:space="0" w:color="auto"/>
            <w:right w:val="none" w:sz="0" w:space="0" w:color="auto"/>
          </w:divBdr>
        </w:div>
      </w:divsChild>
    </w:div>
    <w:div w:id="1642346184">
      <w:bodyDiv w:val="1"/>
      <w:marLeft w:val="0"/>
      <w:marRight w:val="0"/>
      <w:marTop w:val="0"/>
      <w:marBottom w:val="0"/>
      <w:divBdr>
        <w:top w:val="none" w:sz="0" w:space="0" w:color="auto"/>
        <w:left w:val="none" w:sz="0" w:space="0" w:color="auto"/>
        <w:bottom w:val="none" w:sz="0" w:space="0" w:color="auto"/>
        <w:right w:val="none" w:sz="0" w:space="0" w:color="auto"/>
      </w:divBdr>
    </w:div>
    <w:div w:id="1660840581">
      <w:bodyDiv w:val="1"/>
      <w:marLeft w:val="0"/>
      <w:marRight w:val="0"/>
      <w:marTop w:val="0"/>
      <w:marBottom w:val="0"/>
      <w:divBdr>
        <w:top w:val="none" w:sz="0" w:space="0" w:color="auto"/>
        <w:left w:val="none" w:sz="0" w:space="0" w:color="auto"/>
        <w:bottom w:val="none" w:sz="0" w:space="0" w:color="auto"/>
        <w:right w:val="none" w:sz="0" w:space="0" w:color="auto"/>
      </w:divBdr>
    </w:div>
    <w:div w:id="1778787622">
      <w:bodyDiv w:val="1"/>
      <w:marLeft w:val="0"/>
      <w:marRight w:val="0"/>
      <w:marTop w:val="0"/>
      <w:marBottom w:val="0"/>
      <w:divBdr>
        <w:top w:val="none" w:sz="0" w:space="0" w:color="auto"/>
        <w:left w:val="none" w:sz="0" w:space="0" w:color="auto"/>
        <w:bottom w:val="none" w:sz="0" w:space="0" w:color="auto"/>
        <w:right w:val="none" w:sz="0" w:space="0" w:color="auto"/>
      </w:divBdr>
    </w:div>
    <w:div w:id="1834178667">
      <w:bodyDiv w:val="1"/>
      <w:marLeft w:val="0"/>
      <w:marRight w:val="0"/>
      <w:marTop w:val="0"/>
      <w:marBottom w:val="0"/>
      <w:divBdr>
        <w:top w:val="none" w:sz="0" w:space="0" w:color="auto"/>
        <w:left w:val="none" w:sz="0" w:space="0" w:color="auto"/>
        <w:bottom w:val="none" w:sz="0" w:space="0" w:color="auto"/>
        <w:right w:val="none" w:sz="0" w:space="0" w:color="auto"/>
      </w:divBdr>
    </w:div>
    <w:div w:id="18466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lumina-intelligence.com/product/uk-food-to-go-market-report-2026/" TargetMode="External"/><Relationship Id="rId3" Type="http://schemas.openxmlformats.org/officeDocument/2006/relationships/settings" Target="settings.xml"/><Relationship Id="rId7" Type="http://schemas.openxmlformats.org/officeDocument/2006/relationships/hyperlink" Target="https://store.lumina-intelligence.com/product/uk-food-to-go-market-report-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wrbm.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umina-intelligence.com/" TargetMode="Externa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3</cp:revision>
  <dcterms:created xsi:type="dcterms:W3CDTF">2026-03-09T11:59:00Z</dcterms:created>
  <dcterms:modified xsi:type="dcterms:W3CDTF">2026-03-09T12:00:00Z</dcterms:modified>
</cp:coreProperties>
</file>