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04D0" w14:textId="77777777" w:rsidR="00E86F6E" w:rsidRPr="008B64C2" w:rsidRDefault="00E86F6E" w:rsidP="00E86F6E">
      <w:pPr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8B64C2">
        <w:rPr>
          <w:rFonts w:asciiTheme="majorHAnsi" w:hAnsiTheme="majorHAnsi" w:cstheme="majorHAnsi"/>
          <w:b/>
          <w:bCs/>
          <w:noProof/>
          <w:color w:val="505050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5F1BEC3" wp14:editId="16301516">
            <wp:simplePos x="0" y="0"/>
            <wp:positionH relativeFrom="margin">
              <wp:align>right</wp:align>
            </wp:positionH>
            <wp:positionV relativeFrom="paragraph">
              <wp:posOffset>6888</wp:posOffset>
            </wp:positionV>
            <wp:extent cx="1398270" cy="626110"/>
            <wp:effectExtent l="0" t="0" r="0" b="2540"/>
            <wp:wrapTight wrapText="bothSides">
              <wp:wrapPolygon edited="0">
                <wp:start x="0" y="0"/>
                <wp:lineTo x="0" y="21030"/>
                <wp:lineTo x="6768" y="21030"/>
                <wp:lineTo x="9123" y="21030"/>
                <wp:lineTo x="21188" y="21030"/>
                <wp:lineTo x="21188" y="2629"/>
                <wp:lineTo x="14125" y="0"/>
                <wp:lineTo x="0" y="0"/>
              </wp:wrapPolygon>
            </wp:wrapTight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mina Logo Black @1.5x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64C2">
        <w:rPr>
          <w:rFonts w:asciiTheme="majorHAnsi" w:hAnsiTheme="majorHAnsi" w:cstheme="majorHAnsi"/>
          <w:b/>
          <w:bCs/>
          <w:color w:val="505050"/>
          <w:sz w:val="20"/>
          <w:szCs w:val="20"/>
        </w:rPr>
        <w:t>CONTACT INFORMATION:</w:t>
      </w:r>
    </w:p>
    <w:p w14:paraId="4ED46F6F" w14:textId="77777777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8B64C2">
        <w:rPr>
          <w:rFonts w:asciiTheme="majorHAnsi" w:hAnsiTheme="majorHAnsi" w:cstheme="majorHAnsi"/>
          <w:b/>
          <w:bCs/>
          <w:color w:val="505050"/>
          <w:sz w:val="20"/>
          <w:szCs w:val="20"/>
        </w:rPr>
        <w:t>Lumina Intelligence</w:t>
      </w:r>
    </w:p>
    <w:p w14:paraId="46C3E74A" w14:textId="221ECFFC" w:rsidR="00E86F6E" w:rsidRPr="008B64C2" w:rsidRDefault="001A4CBF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>
        <w:rPr>
          <w:rFonts w:asciiTheme="majorHAnsi" w:hAnsiTheme="majorHAnsi" w:cstheme="majorHAnsi"/>
          <w:b/>
          <w:bCs/>
          <w:color w:val="505050"/>
          <w:sz w:val="20"/>
          <w:szCs w:val="20"/>
        </w:rPr>
        <w:t>Monica Rico</w:t>
      </w:r>
    </w:p>
    <w:p w14:paraId="648CE649" w14:textId="3A1772C2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b/>
          <w:bCs/>
          <w:color w:val="505050"/>
          <w:sz w:val="20"/>
          <w:szCs w:val="20"/>
        </w:rPr>
      </w:pPr>
      <w:r w:rsidRPr="00E86F6E">
        <w:rPr>
          <w:rFonts w:asciiTheme="majorHAnsi" w:hAnsiTheme="majorHAnsi" w:cstheme="majorHAnsi"/>
          <w:b/>
          <w:bCs/>
          <w:color w:val="505050"/>
          <w:sz w:val="20"/>
          <w:szCs w:val="20"/>
        </w:rPr>
        <w:t>+4420 76110434</w:t>
      </w:r>
    </w:p>
    <w:p w14:paraId="0C6B67A6" w14:textId="5494899A" w:rsidR="00E86F6E" w:rsidRPr="008B64C2" w:rsidRDefault="001A4CBF" w:rsidP="00E86F6E">
      <w:pPr>
        <w:spacing w:after="0" w:line="240" w:lineRule="auto"/>
        <w:rPr>
          <w:rStyle w:val="Hyperlink"/>
          <w:rFonts w:cstheme="majorHAnsi"/>
          <w:color w:val="505050"/>
          <w:sz w:val="20"/>
          <w:szCs w:val="20"/>
        </w:rPr>
      </w:pPr>
      <w:hyperlink r:id="rId9" w:history="1">
        <w:r w:rsidRPr="00397CFC">
          <w:rPr>
            <w:rStyle w:val="Hyperlink"/>
            <w:rFonts w:cstheme="majorHAnsi"/>
            <w:b/>
            <w:bCs/>
            <w:sz w:val="20"/>
            <w:szCs w:val="20"/>
          </w:rPr>
          <w:t>monica.ricocastrillo@lumina-intelligence.co.uk</w:t>
        </w:r>
      </w:hyperlink>
    </w:p>
    <w:p w14:paraId="0F73F8B7" w14:textId="77777777" w:rsidR="00E86F6E" w:rsidRPr="008B64C2" w:rsidRDefault="00E86F6E" w:rsidP="00E86F6E">
      <w:pPr>
        <w:spacing w:after="0" w:line="240" w:lineRule="auto"/>
        <w:rPr>
          <w:rFonts w:asciiTheme="majorHAnsi" w:hAnsiTheme="majorHAnsi" w:cstheme="majorHAnsi"/>
          <w:sz w:val="20"/>
          <w:szCs w:val="20"/>
          <w:u w:val="single"/>
        </w:rPr>
      </w:pPr>
    </w:p>
    <w:p w14:paraId="6F193ACD" w14:textId="44E67E84" w:rsidR="00E86F6E" w:rsidRDefault="00E06481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27</w:t>
      </w:r>
      <w:r w:rsidR="00990767" w:rsidRPr="00990767">
        <w:rPr>
          <w:rFonts w:asciiTheme="majorHAnsi" w:hAnsiTheme="majorHAnsi" w:cstheme="majorHAnsi"/>
          <w:b/>
          <w:bCs/>
          <w:sz w:val="20"/>
          <w:szCs w:val="20"/>
          <w:u w:val="single"/>
          <w:vertAlign w:val="superscript"/>
        </w:rPr>
        <w:t>th</w:t>
      </w:r>
      <w:r w:rsidR="0099076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May</w:t>
      </w:r>
      <w:r w:rsidR="00990767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202</w:t>
      </w:r>
      <w:r>
        <w:rPr>
          <w:rFonts w:asciiTheme="majorHAnsi" w:hAnsiTheme="majorHAnsi" w:cstheme="majorHAnsi"/>
          <w:b/>
          <w:bCs/>
          <w:sz w:val="20"/>
          <w:szCs w:val="20"/>
          <w:u w:val="single"/>
        </w:rPr>
        <w:t>6</w:t>
      </w:r>
    </w:p>
    <w:p w14:paraId="55C1DF4D" w14:textId="09A0725B" w:rsidR="005503B0" w:rsidRDefault="005503B0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6B4FB751" w14:textId="6C388959" w:rsidR="005503B0" w:rsidRDefault="005503B0" w:rsidP="00E86F6E">
      <w:pPr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</w:p>
    <w:p w14:paraId="1D274DED" w14:textId="6D7A417A" w:rsidR="00454218" w:rsidRDefault="00E06481" w:rsidP="00454218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E06481">
        <w:rPr>
          <w:rFonts w:asciiTheme="majorHAnsi" w:eastAsiaTheme="majorEastAsia" w:hAnsiTheme="majorHAnsi" w:cstheme="majorBidi"/>
          <w:b/>
          <w:bCs/>
          <w:sz w:val="32"/>
          <w:szCs w:val="32"/>
        </w:rPr>
        <w:t>Selective Growth: UK Eating Out Market Polarises Around Value, Convenience and Affluence</w:t>
      </w:r>
    </w:p>
    <w:p w14:paraId="4E64D732" w14:textId="77777777" w:rsidR="00E06481" w:rsidRDefault="00E06481" w:rsidP="00E06481">
      <w:pPr>
        <w:rPr>
          <w:rFonts w:asciiTheme="majorHAnsi" w:eastAsiaTheme="majorEastAsia" w:hAnsiTheme="majorHAnsi" w:cstheme="majorBidi"/>
          <w:b/>
          <w:bCs/>
        </w:rPr>
      </w:pPr>
    </w:p>
    <w:p w14:paraId="6DC689D8" w14:textId="5B5AE70E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The UK eating-out market is entering a new phase of “selective growth”, valued at </w:t>
      </w:r>
      <w:r w:rsidRPr="00E06481">
        <w:rPr>
          <w:rFonts w:asciiTheme="majorHAnsi" w:eastAsiaTheme="majorEastAsia" w:hAnsiTheme="majorHAnsi" w:cstheme="majorBidi"/>
          <w:b/>
          <w:bCs/>
        </w:rPr>
        <w:t>£102.8bn in 2026 (+1.8%)</w:t>
      </w:r>
      <w:r w:rsidRPr="00E06481">
        <w:rPr>
          <w:rFonts w:asciiTheme="majorHAnsi" w:eastAsiaTheme="majorEastAsia" w:hAnsiTheme="majorHAnsi" w:cstheme="majorBidi"/>
        </w:rPr>
        <w:t xml:space="preserve">, according to new findings from </w:t>
      </w:r>
      <w:hyperlink r:id="rId10" w:history="1">
        <w:r w:rsidRPr="00077EAC">
          <w:rPr>
            <w:rStyle w:val="Hyperlink"/>
            <w:rFonts w:asciiTheme="majorHAnsi" w:eastAsiaTheme="majorEastAsia" w:hAnsiTheme="majorHAnsi" w:cstheme="majorBidi"/>
            <w:b/>
            <w:bCs/>
          </w:rPr>
          <w:t>Lumina Intelligence’s UK Eating Out Market Report 2026</w:t>
        </w:r>
      </w:hyperlink>
      <w:r w:rsidRPr="00E06481">
        <w:rPr>
          <w:rFonts w:asciiTheme="majorHAnsi" w:eastAsiaTheme="majorEastAsia" w:hAnsiTheme="majorHAnsi" w:cstheme="majorBidi"/>
        </w:rPr>
        <w:t>.</w:t>
      </w:r>
    </w:p>
    <w:p w14:paraId="74A31F3F" w14:textId="76BE3D64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While the market continues to grow, this expansion is increasingly </w:t>
      </w:r>
      <w:r w:rsidRPr="00E06481">
        <w:rPr>
          <w:rFonts w:asciiTheme="majorHAnsi" w:eastAsiaTheme="majorEastAsia" w:hAnsiTheme="majorHAnsi" w:cstheme="majorBidi"/>
          <w:b/>
          <w:bCs/>
        </w:rPr>
        <w:t>inflation-led rather than demand-led</w:t>
      </w:r>
      <w:r w:rsidRPr="00E06481">
        <w:rPr>
          <w:rFonts w:asciiTheme="majorHAnsi" w:eastAsiaTheme="majorEastAsia" w:hAnsiTheme="majorHAnsi" w:cstheme="majorBidi"/>
        </w:rPr>
        <w:t>, with weakening participation and a more cautious consumer backdrop</w:t>
      </w:r>
      <w:r>
        <w:rPr>
          <w:rFonts w:asciiTheme="majorHAnsi" w:eastAsiaTheme="majorEastAsia" w:hAnsiTheme="majorHAnsi" w:cstheme="majorBidi"/>
        </w:rPr>
        <w:t>.</w:t>
      </w:r>
    </w:p>
    <w:p w14:paraId="30F2B6CA" w14:textId="3319948C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</w:p>
    <w:p w14:paraId="6A5B2372" w14:textId="77777777" w:rsidR="00E06481" w:rsidRPr="00E06481" w:rsidRDefault="00E06481" w:rsidP="00E06481">
      <w:pPr>
        <w:rPr>
          <w:rFonts w:asciiTheme="majorHAnsi" w:eastAsiaTheme="majorEastAsia" w:hAnsiTheme="majorHAnsi" w:cstheme="majorBidi"/>
          <w:b/>
          <w:bCs/>
        </w:rPr>
      </w:pPr>
      <w:r w:rsidRPr="00E06481">
        <w:rPr>
          <w:rFonts w:asciiTheme="majorHAnsi" w:eastAsiaTheme="majorEastAsia" w:hAnsiTheme="majorHAnsi" w:cstheme="majorBidi"/>
          <w:b/>
          <w:bCs/>
        </w:rPr>
        <w:t>Growth Concentrates in QSR, Food-to-Go and High-Frequency Missions</w:t>
      </w:r>
    </w:p>
    <w:p w14:paraId="456BB1DE" w14:textId="3A2B8852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A clear structural divide is emerging across the market. </w:t>
      </w:r>
      <w:r w:rsidRPr="00E06481">
        <w:rPr>
          <w:rFonts w:asciiTheme="majorHAnsi" w:eastAsiaTheme="majorEastAsia" w:hAnsiTheme="majorHAnsi" w:cstheme="majorBidi"/>
          <w:b/>
          <w:bCs/>
        </w:rPr>
        <w:t>Quick service, coffee, bakery and travel channels are gaining share</w:t>
      </w:r>
      <w:r w:rsidRPr="00E06481">
        <w:rPr>
          <w:rFonts w:asciiTheme="majorHAnsi" w:eastAsiaTheme="majorEastAsia" w:hAnsiTheme="majorHAnsi" w:cstheme="majorBidi"/>
        </w:rPr>
        <w:t xml:space="preserve">, while </w:t>
      </w:r>
      <w:r w:rsidRPr="00E06481">
        <w:rPr>
          <w:rFonts w:asciiTheme="majorHAnsi" w:eastAsiaTheme="majorEastAsia" w:hAnsiTheme="majorHAnsi" w:cstheme="majorBidi"/>
          <w:b/>
          <w:bCs/>
        </w:rPr>
        <w:t>restaurants and pubs continue to lose ground</w:t>
      </w:r>
      <w:r w:rsidRPr="00E06481">
        <w:rPr>
          <w:rFonts w:asciiTheme="majorHAnsi" w:eastAsiaTheme="majorEastAsia" w:hAnsiTheme="majorHAnsi" w:cstheme="majorBidi"/>
        </w:rPr>
        <w:t xml:space="preserve">. </w:t>
      </w:r>
    </w:p>
    <w:p w14:paraId="4F93693D" w14:textId="77777777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This shift reflects growing demand for </w:t>
      </w:r>
      <w:r w:rsidRPr="00E06481">
        <w:rPr>
          <w:rFonts w:asciiTheme="majorHAnsi" w:eastAsiaTheme="majorEastAsia" w:hAnsiTheme="majorHAnsi" w:cstheme="majorBidi"/>
          <w:b/>
          <w:bCs/>
        </w:rPr>
        <w:t>convenience, speed and accessibility</w:t>
      </w:r>
      <w:r w:rsidRPr="00E06481">
        <w:rPr>
          <w:rFonts w:asciiTheme="majorHAnsi" w:eastAsiaTheme="majorEastAsia" w:hAnsiTheme="majorHAnsi" w:cstheme="majorBidi"/>
        </w:rPr>
        <w:t>, with high-frequency, value-led formats outperforming more traditional dine-in experiences.</w:t>
      </w:r>
    </w:p>
    <w:p w14:paraId="65392FF6" w14:textId="5172BF8E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</w:p>
    <w:p w14:paraId="5DF1D24C" w14:textId="1C085DD0" w:rsidR="00E06481" w:rsidRPr="00E06481" w:rsidRDefault="00E06481" w:rsidP="00E06481">
      <w:pPr>
        <w:rPr>
          <w:rFonts w:asciiTheme="majorHAnsi" w:eastAsiaTheme="majorEastAsia" w:hAnsiTheme="majorHAnsi" w:cstheme="majorBidi"/>
          <w:b/>
          <w:bCs/>
        </w:rPr>
      </w:pPr>
      <w:r w:rsidRPr="00E06481">
        <w:rPr>
          <w:rFonts w:asciiTheme="majorHAnsi" w:eastAsiaTheme="majorEastAsia" w:hAnsiTheme="majorHAnsi" w:cstheme="majorBidi"/>
          <w:b/>
          <w:bCs/>
        </w:rPr>
        <w:t>A Smaller, More Affluent Consumer</w:t>
      </w:r>
      <w:r w:rsidR="008967F4">
        <w:rPr>
          <w:rFonts w:asciiTheme="majorHAnsi" w:eastAsiaTheme="majorEastAsia" w:hAnsiTheme="majorHAnsi" w:cstheme="majorBidi"/>
          <w:b/>
          <w:bCs/>
        </w:rPr>
        <w:t xml:space="preserve"> Base</w:t>
      </w:r>
      <w:r w:rsidRPr="00E06481">
        <w:rPr>
          <w:rFonts w:asciiTheme="majorHAnsi" w:eastAsiaTheme="majorEastAsia" w:hAnsiTheme="majorHAnsi" w:cstheme="majorBidi"/>
          <w:b/>
          <w:bCs/>
        </w:rPr>
        <w:t xml:space="preserve"> Is Driving the Market</w:t>
      </w:r>
    </w:p>
    <w:p w14:paraId="211D96F6" w14:textId="5F0B596E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Eating-out participation has declined to </w:t>
      </w:r>
      <w:r w:rsidRPr="00E06481">
        <w:rPr>
          <w:rFonts w:asciiTheme="majorHAnsi" w:eastAsiaTheme="majorEastAsia" w:hAnsiTheme="majorHAnsi" w:cstheme="majorBidi"/>
          <w:b/>
          <w:bCs/>
        </w:rPr>
        <w:t>56.8% (-1.3ppts)</w:t>
      </w:r>
      <w:r w:rsidRPr="00E06481">
        <w:rPr>
          <w:rFonts w:asciiTheme="majorHAnsi" w:eastAsiaTheme="majorEastAsia" w:hAnsiTheme="majorHAnsi" w:cstheme="majorBidi"/>
        </w:rPr>
        <w:t xml:space="preserve">, but those remaining in the market are visiting more often, with </w:t>
      </w:r>
      <w:r w:rsidRPr="00E06481">
        <w:rPr>
          <w:rFonts w:asciiTheme="majorHAnsi" w:eastAsiaTheme="majorEastAsia" w:hAnsiTheme="majorHAnsi" w:cstheme="majorBidi"/>
          <w:b/>
          <w:bCs/>
        </w:rPr>
        <w:t>frequency up +3.9%</w:t>
      </w:r>
      <w:r w:rsidRPr="00E06481">
        <w:rPr>
          <w:rFonts w:asciiTheme="majorHAnsi" w:eastAsiaTheme="majorEastAsia" w:hAnsiTheme="majorHAnsi" w:cstheme="majorBidi"/>
        </w:rPr>
        <w:t xml:space="preserve">. </w:t>
      </w:r>
    </w:p>
    <w:p w14:paraId="07351DAF" w14:textId="64A9BED8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Growth is now heavily concentrated among </w:t>
      </w:r>
      <w:r w:rsidRPr="00E06481">
        <w:rPr>
          <w:rFonts w:asciiTheme="majorHAnsi" w:eastAsiaTheme="majorEastAsia" w:hAnsiTheme="majorHAnsi" w:cstheme="majorBidi"/>
          <w:b/>
          <w:bCs/>
        </w:rPr>
        <w:t>affluent consumers, particularly 25–34s and higher-income households</w:t>
      </w:r>
      <w:r w:rsidRPr="00E06481">
        <w:rPr>
          <w:rFonts w:asciiTheme="majorHAnsi" w:eastAsiaTheme="majorEastAsia" w:hAnsiTheme="majorHAnsi" w:cstheme="majorBidi"/>
        </w:rPr>
        <w:t xml:space="preserve">, while lower-income groups continue to disengage. </w:t>
      </w:r>
    </w:p>
    <w:p w14:paraId="1BC06C89" w14:textId="2911EE00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</w:p>
    <w:p w14:paraId="401092D2" w14:textId="77777777" w:rsidR="00E06481" w:rsidRPr="00E06481" w:rsidRDefault="00E06481" w:rsidP="00E06481">
      <w:pPr>
        <w:rPr>
          <w:rFonts w:asciiTheme="majorHAnsi" w:eastAsiaTheme="majorEastAsia" w:hAnsiTheme="majorHAnsi" w:cstheme="majorBidi"/>
          <w:b/>
          <w:bCs/>
        </w:rPr>
      </w:pPr>
      <w:r w:rsidRPr="00E06481">
        <w:rPr>
          <w:rFonts w:asciiTheme="majorHAnsi" w:eastAsiaTheme="majorEastAsia" w:hAnsiTheme="majorHAnsi" w:cstheme="majorBidi"/>
          <w:b/>
          <w:bCs/>
        </w:rPr>
        <w:t>Value Is Being Rewritten as Consumers Balance Quality and Cost</w:t>
      </w:r>
    </w:p>
    <w:p w14:paraId="56DD4DF7" w14:textId="77777777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>The market is increasingly split between two consumer mindsets:</w:t>
      </w:r>
    </w:p>
    <w:p w14:paraId="0304E81B" w14:textId="77777777" w:rsidR="00E06481" w:rsidRPr="00E06481" w:rsidRDefault="00E06481" w:rsidP="00E06481">
      <w:pPr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  <w:b/>
          <w:bCs/>
        </w:rPr>
        <w:t>“Emotional investors”</w:t>
      </w:r>
      <w:r w:rsidRPr="00E06481">
        <w:rPr>
          <w:rFonts w:asciiTheme="majorHAnsi" w:eastAsiaTheme="majorEastAsia" w:hAnsiTheme="majorHAnsi" w:cstheme="majorBidi"/>
        </w:rPr>
        <w:t xml:space="preserve"> seeking quality-led, meaningful experiences</w:t>
      </w:r>
    </w:p>
    <w:p w14:paraId="6E491272" w14:textId="735F461E" w:rsidR="00E06481" w:rsidRPr="00E06481" w:rsidRDefault="00E06481" w:rsidP="00E06481">
      <w:pPr>
        <w:numPr>
          <w:ilvl w:val="0"/>
          <w:numId w:val="1"/>
        </w:num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  <w:b/>
          <w:bCs/>
        </w:rPr>
        <w:t>“Strategic spenders”</w:t>
      </w:r>
      <w:r w:rsidRPr="00E06481">
        <w:rPr>
          <w:rFonts w:asciiTheme="majorHAnsi" w:eastAsiaTheme="majorEastAsia" w:hAnsiTheme="majorHAnsi" w:cstheme="majorBidi"/>
        </w:rPr>
        <w:t xml:space="preserve"> prioritising promotions, value and planned visits</w:t>
      </w:r>
    </w:p>
    <w:p w14:paraId="62FEE2E6" w14:textId="0AEEF162" w:rsidR="00E06481" w:rsidRDefault="00E06481" w:rsidP="00E06481">
      <w:pPr>
        <w:rPr>
          <w:rFonts w:asciiTheme="majorHAnsi" w:eastAsiaTheme="majorEastAsia" w:hAnsiTheme="majorHAnsi" w:cstheme="majorBidi"/>
        </w:rPr>
      </w:pPr>
      <w:r w:rsidRPr="00E06481">
        <w:rPr>
          <w:rFonts w:asciiTheme="majorHAnsi" w:eastAsiaTheme="majorEastAsia" w:hAnsiTheme="majorHAnsi" w:cstheme="majorBidi"/>
        </w:rPr>
        <w:t xml:space="preserve">Operators are relying on </w:t>
      </w:r>
      <w:r w:rsidRPr="00E06481">
        <w:rPr>
          <w:rFonts w:asciiTheme="majorHAnsi" w:eastAsiaTheme="majorEastAsia" w:hAnsiTheme="majorHAnsi" w:cstheme="majorBidi"/>
          <w:b/>
          <w:bCs/>
        </w:rPr>
        <w:t>bundles, loyalty schemes and targeted offers</w:t>
      </w:r>
      <w:r w:rsidRPr="00E06481">
        <w:rPr>
          <w:rFonts w:asciiTheme="majorHAnsi" w:eastAsiaTheme="majorEastAsia" w:hAnsiTheme="majorHAnsi" w:cstheme="majorBidi"/>
        </w:rPr>
        <w:t xml:space="preserve"> to maintain frequency, while still delivering on quality expectations.</w:t>
      </w:r>
    </w:p>
    <w:p w14:paraId="5E68EA8B" w14:textId="77777777" w:rsidR="00E06481" w:rsidRDefault="00E06481" w:rsidP="00E06481">
      <w:pPr>
        <w:rPr>
          <w:rFonts w:asciiTheme="majorHAnsi" w:eastAsiaTheme="majorEastAsia" w:hAnsiTheme="majorHAnsi" w:cstheme="majorBidi"/>
        </w:rPr>
      </w:pPr>
    </w:p>
    <w:p w14:paraId="7523F4A0" w14:textId="514D93A0" w:rsidR="00E06481" w:rsidRPr="00E06481" w:rsidRDefault="00E06481" w:rsidP="00E06481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Head of Insight Andy Crossan commented: “</w:t>
      </w:r>
      <w:r w:rsidRPr="00E06481">
        <w:rPr>
          <w:rFonts w:asciiTheme="majorHAnsi" w:eastAsiaTheme="majorEastAsia" w:hAnsiTheme="majorHAnsi" w:cstheme="majorBidi"/>
        </w:rPr>
        <w:t xml:space="preserve">As the sector adjusts, success will depend on the ability to </w:t>
      </w:r>
      <w:r w:rsidRPr="00E06481">
        <w:rPr>
          <w:rFonts w:asciiTheme="majorHAnsi" w:eastAsiaTheme="majorEastAsia" w:hAnsiTheme="majorHAnsi" w:cstheme="majorBidi"/>
          <w:b/>
          <w:bCs/>
        </w:rPr>
        <w:t>balance value, convenience and quality</w:t>
      </w:r>
      <w:r w:rsidRPr="00E06481">
        <w:rPr>
          <w:rFonts w:asciiTheme="majorHAnsi" w:eastAsiaTheme="majorEastAsia" w:hAnsiTheme="majorHAnsi" w:cstheme="majorBidi"/>
        </w:rPr>
        <w:t>, while leveraging technology and format innovation to meet increasingly selective consumer demand.</w:t>
      </w:r>
      <w:r>
        <w:rPr>
          <w:rFonts w:asciiTheme="majorHAnsi" w:eastAsiaTheme="majorEastAsia" w:hAnsiTheme="majorHAnsi" w:cstheme="majorBidi"/>
        </w:rPr>
        <w:t>”</w:t>
      </w:r>
    </w:p>
    <w:p w14:paraId="52AF2A35" w14:textId="77777777" w:rsidR="00454218" w:rsidRDefault="00454218" w:rsidP="00BE3B0B"/>
    <w:p w14:paraId="7A0DB05A" w14:textId="4063E0AD" w:rsidR="0005459F" w:rsidRPr="0005459F" w:rsidRDefault="0005459F" w:rsidP="00BE3B0B">
      <w:r w:rsidRPr="0005459F">
        <w:t>END</w:t>
      </w:r>
    </w:p>
    <w:p w14:paraId="27F77509" w14:textId="77777777" w:rsidR="0005459F" w:rsidRDefault="0005459F" w:rsidP="00BE3B0B">
      <w:pPr>
        <w:rPr>
          <w:b/>
          <w:bCs/>
        </w:rPr>
      </w:pPr>
    </w:p>
    <w:p w14:paraId="301E3AB3" w14:textId="18DFEC42" w:rsidR="00484427" w:rsidRDefault="00484427" w:rsidP="00484427">
      <w:pPr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eastAsia="en-GB"/>
        </w:rPr>
        <w:t xml:space="preserve">About the </w:t>
      </w:r>
      <w:r w:rsidR="00E06481">
        <w:rPr>
          <w:rFonts w:ascii="Arial" w:hAnsi="Arial" w:cs="Arial"/>
          <w:b/>
          <w:bCs/>
          <w:lang w:eastAsia="en-GB"/>
        </w:rPr>
        <w:t>report</w:t>
      </w:r>
    </w:p>
    <w:p w14:paraId="7988E105" w14:textId="1EF09E2A" w:rsidR="00033370" w:rsidRPr="00033370" w:rsidRDefault="00033370" w:rsidP="00033370">
      <w:r w:rsidRPr="00033370">
        <w:t xml:space="preserve">The </w:t>
      </w:r>
      <w:hyperlink r:id="rId11" w:history="1">
        <w:r w:rsidRPr="00033370">
          <w:rPr>
            <w:rStyle w:val="Hyperlink"/>
          </w:rPr>
          <w:t>Lumina Intelligence Eating Out Market Report 2026</w:t>
        </w:r>
      </w:hyperlink>
      <w:r w:rsidRPr="00033370">
        <w:t xml:space="preserve"> provides a comprehensive view of the UK foodservice market as it transitions from a prolonged period of inflationary pressure into a more stabilised, but highly competitive, trading environment.</w:t>
      </w:r>
    </w:p>
    <w:p w14:paraId="132D83C4" w14:textId="77777777" w:rsidR="00033370" w:rsidRPr="00033370" w:rsidRDefault="00033370" w:rsidP="00033370">
      <w:r w:rsidRPr="00033370">
        <w:t>Positioned as both a reflection on the current market landscape and a forward-looking guide to 2027 and beyond, the Eating Out Market Report 2026 equips operators, suppliers and investors with the insight needed to navigate an increasingly complex and fragmented foodservice market.</w:t>
      </w:r>
    </w:p>
    <w:p w14:paraId="3AFDF806" w14:textId="77777777" w:rsidR="00454218" w:rsidRDefault="00454218" w:rsidP="00BE3B0B"/>
    <w:p w14:paraId="140B5BA8" w14:textId="77777777" w:rsidR="00F40B65" w:rsidRPr="00F40B65" w:rsidRDefault="00F40B65" w:rsidP="00F40B65">
      <w:pPr>
        <w:rPr>
          <w:rFonts w:cstheme="minorHAnsi"/>
          <w:b/>
          <w:bCs/>
        </w:rPr>
      </w:pPr>
    </w:p>
    <w:p w14:paraId="12C804F1" w14:textId="77777777" w:rsidR="00F40B65" w:rsidRPr="00F40B65" w:rsidRDefault="00F40B65" w:rsidP="00F40B65">
      <w:pPr>
        <w:rPr>
          <w:rFonts w:cstheme="minorHAnsi"/>
          <w:b/>
          <w:bCs/>
        </w:rPr>
      </w:pPr>
      <w:r w:rsidRPr="00F40B65">
        <w:rPr>
          <w:rFonts w:cstheme="minorHAnsi"/>
          <w:b/>
          <w:bCs/>
        </w:rPr>
        <w:t>Who We Are:</w:t>
      </w:r>
    </w:p>
    <w:p w14:paraId="1E723AEA" w14:textId="77777777" w:rsidR="00F40B65" w:rsidRPr="00F40B65" w:rsidRDefault="00F40B65" w:rsidP="00F40B65">
      <w:pPr>
        <w:rPr>
          <w:rFonts w:cstheme="minorHAnsi"/>
        </w:rPr>
      </w:pPr>
      <w:hyperlink r:id="rId12" w:history="1">
        <w:r w:rsidRPr="00F40B65">
          <w:rPr>
            <w:rStyle w:val="Hyperlink"/>
            <w:rFonts w:cstheme="minorHAnsi"/>
          </w:rPr>
          <w:t>Lumina Intelligence</w:t>
        </w:r>
      </w:hyperlink>
      <w:r w:rsidRPr="00F40B65">
        <w:rPr>
          <w:rFonts w:cstheme="minorHAnsi"/>
        </w:rPr>
        <w:t xml:space="preserve"> helps food and drink brands understand their consumers and markets - so they can grow faster, plan smarter, and make better commercial decisions.</w:t>
      </w:r>
    </w:p>
    <w:p w14:paraId="1F4AE0AD" w14:textId="77777777" w:rsidR="00F40B65" w:rsidRPr="00F40B65" w:rsidRDefault="00F40B65" w:rsidP="00F40B65">
      <w:pPr>
        <w:rPr>
          <w:rFonts w:cstheme="minorHAnsi"/>
        </w:rPr>
      </w:pPr>
      <w:r w:rsidRPr="00F40B65">
        <w:rPr>
          <w:rFonts w:cstheme="minorHAnsi"/>
        </w:rPr>
        <w:t>We specialise in insight for grocery retail and hospitality, combining trusted data with expert analysis to support your commercial, category, and insight teams.</w:t>
      </w:r>
    </w:p>
    <w:p w14:paraId="169A1322" w14:textId="77777777" w:rsidR="00F40B65" w:rsidRPr="00F40B65" w:rsidRDefault="00F40B65" w:rsidP="00F40B65">
      <w:pPr>
        <w:rPr>
          <w:rFonts w:cstheme="minorHAnsi"/>
        </w:rPr>
      </w:pPr>
      <w:hyperlink r:id="rId13" w:history="1">
        <w:r w:rsidRPr="00F40B65">
          <w:rPr>
            <w:rStyle w:val="Hyperlink"/>
            <w:rFonts w:cstheme="minorHAnsi"/>
          </w:rPr>
          <w:t>https://www.lumina-intelligence.com/</w:t>
        </w:r>
      </w:hyperlink>
      <w:r w:rsidRPr="00F40B65">
        <w:rPr>
          <w:rFonts w:cstheme="minorHAnsi"/>
        </w:rPr>
        <w:t xml:space="preserve"> </w:t>
      </w:r>
    </w:p>
    <w:p w14:paraId="0D67BA9B" w14:textId="7B433FB0" w:rsidR="00E465FF" w:rsidRDefault="00E465FF" w:rsidP="00E86F6E"/>
    <w:sectPr w:rsidR="00E465FF" w:rsidSect="00141CF3">
      <w:pgSz w:w="11906" w:h="16838"/>
      <w:pgMar w:top="1440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07C04"/>
    <w:multiLevelType w:val="multilevel"/>
    <w:tmpl w:val="F926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42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B2B"/>
    <w:rsid w:val="000224F8"/>
    <w:rsid w:val="00033370"/>
    <w:rsid w:val="0005459F"/>
    <w:rsid w:val="0005697A"/>
    <w:rsid w:val="00077EAC"/>
    <w:rsid w:val="00141CF3"/>
    <w:rsid w:val="001A4CBF"/>
    <w:rsid w:val="001E269C"/>
    <w:rsid w:val="00224205"/>
    <w:rsid w:val="00282476"/>
    <w:rsid w:val="002A3B51"/>
    <w:rsid w:val="003710A8"/>
    <w:rsid w:val="003B5C03"/>
    <w:rsid w:val="004332B9"/>
    <w:rsid w:val="00454218"/>
    <w:rsid w:val="00484427"/>
    <w:rsid w:val="004C05A9"/>
    <w:rsid w:val="0050110C"/>
    <w:rsid w:val="00512B52"/>
    <w:rsid w:val="00520DDC"/>
    <w:rsid w:val="005503B0"/>
    <w:rsid w:val="00584D75"/>
    <w:rsid w:val="005C6BED"/>
    <w:rsid w:val="005F3169"/>
    <w:rsid w:val="006302EF"/>
    <w:rsid w:val="00645C76"/>
    <w:rsid w:val="0068623C"/>
    <w:rsid w:val="0069146D"/>
    <w:rsid w:val="006B68D3"/>
    <w:rsid w:val="006D2B2B"/>
    <w:rsid w:val="007033DF"/>
    <w:rsid w:val="00726EF3"/>
    <w:rsid w:val="007462A8"/>
    <w:rsid w:val="007809E2"/>
    <w:rsid w:val="007C11AE"/>
    <w:rsid w:val="007C29CE"/>
    <w:rsid w:val="00844A02"/>
    <w:rsid w:val="00862E37"/>
    <w:rsid w:val="00873A6C"/>
    <w:rsid w:val="008967F4"/>
    <w:rsid w:val="00896C04"/>
    <w:rsid w:val="008C2102"/>
    <w:rsid w:val="008D6CF7"/>
    <w:rsid w:val="008E79B8"/>
    <w:rsid w:val="0090390D"/>
    <w:rsid w:val="00942B78"/>
    <w:rsid w:val="009566F8"/>
    <w:rsid w:val="009724BC"/>
    <w:rsid w:val="009740ED"/>
    <w:rsid w:val="0098585D"/>
    <w:rsid w:val="00990767"/>
    <w:rsid w:val="009E4F1E"/>
    <w:rsid w:val="00A0427B"/>
    <w:rsid w:val="00A53CD0"/>
    <w:rsid w:val="00BE3B0B"/>
    <w:rsid w:val="00C22C33"/>
    <w:rsid w:val="00C318FA"/>
    <w:rsid w:val="00C370E6"/>
    <w:rsid w:val="00C7385B"/>
    <w:rsid w:val="00CF388F"/>
    <w:rsid w:val="00CF58EB"/>
    <w:rsid w:val="00D21343"/>
    <w:rsid w:val="00D259BD"/>
    <w:rsid w:val="00DB5B70"/>
    <w:rsid w:val="00E06481"/>
    <w:rsid w:val="00E069E8"/>
    <w:rsid w:val="00E22F34"/>
    <w:rsid w:val="00E465FF"/>
    <w:rsid w:val="00E86F6E"/>
    <w:rsid w:val="00EA6D59"/>
    <w:rsid w:val="00ED241B"/>
    <w:rsid w:val="00EE25EC"/>
    <w:rsid w:val="00EF0656"/>
    <w:rsid w:val="00F24DEE"/>
    <w:rsid w:val="00F356D1"/>
    <w:rsid w:val="00F40B65"/>
    <w:rsid w:val="00F558FA"/>
    <w:rsid w:val="00FD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3A5EA"/>
  <w15:chartTrackingRefBased/>
  <w15:docId w15:val="{2A8822F1-35BE-4E16-829D-3EE38836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1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64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86F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6F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420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4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42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42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27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740ED"/>
    <w:rPr>
      <w:rFonts w:ascii="Times New Roman" w:hAnsi="Times New Roman" w:cs="Times New Roman"/>
      <w:sz w:val="24"/>
      <w:szCs w:val="24"/>
    </w:rPr>
  </w:style>
  <w:style w:type="paragraph" w:customStyle="1" w:styleId="Pa0">
    <w:name w:val="Pa0"/>
    <w:basedOn w:val="Normal"/>
    <w:uiPriority w:val="99"/>
    <w:rsid w:val="00484427"/>
    <w:pPr>
      <w:autoSpaceDE w:val="0"/>
      <w:autoSpaceDN w:val="0"/>
      <w:spacing w:after="0" w:line="241" w:lineRule="atLeast"/>
    </w:pPr>
    <w:rPr>
      <w:rFonts w:ascii="Graphik Regular" w:hAnsi="Graphik Regular" w:cs="Calibri"/>
      <w:sz w:val="24"/>
      <w:szCs w:val="24"/>
    </w:rPr>
  </w:style>
  <w:style w:type="character" w:customStyle="1" w:styleId="A2">
    <w:name w:val="A2"/>
    <w:basedOn w:val="DefaultParagraphFont"/>
    <w:uiPriority w:val="99"/>
    <w:rsid w:val="00484427"/>
    <w:rPr>
      <w:rFonts w:ascii="Graphik Regular" w:hAnsi="Graphik Regular" w:hint="default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64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4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5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0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umina-intelligence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umina-intelligence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ore.lumina-intelligence.com/product/uk-eating-out-market-report-2026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tore.lumina-intelligence.com/product/uk-eating-out-market-report-2026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ca.ricocastrillo@lumina-intelligence.co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C2A038AA2A9489F365E623231785F" ma:contentTypeVersion="14" ma:contentTypeDescription="Create a new document." ma:contentTypeScope="" ma:versionID="bbe8183be903a95a9af46b9e7f940ed1">
  <xsd:schema xmlns:xsd="http://www.w3.org/2001/XMLSchema" xmlns:xs="http://www.w3.org/2001/XMLSchema" xmlns:p="http://schemas.microsoft.com/office/2006/metadata/properties" xmlns:ns3="1fd7eceb-fc85-44ad-b2a4-3e682c8dcbfc" xmlns:ns4="78337373-c547-43d0-875c-96a7ce2ad59b" targetNamespace="http://schemas.microsoft.com/office/2006/metadata/properties" ma:root="true" ma:fieldsID="346003a15f1afcec85aaaf977d386759" ns3:_="" ns4:_="">
    <xsd:import namespace="1fd7eceb-fc85-44ad-b2a4-3e682c8dcbfc"/>
    <xsd:import namespace="78337373-c547-43d0-875c-96a7ce2ad5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7eceb-fc85-44ad-b2a4-3e682c8d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37373-c547-43d0-875c-96a7ce2ad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337373-c547-43d0-875c-96a7ce2ad59b" xsi:nil="true"/>
  </documentManagement>
</p:properties>
</file>

<file path=customXml/itemProps1.xml><?xml version="1.0" encoding="utf-8"?>
<ds:datastoreItem xmlns:ds="http://schemas.openxmlformats.org/officeDocument/2006/customXml" ds:itemID="{0F4072D4-F28E-466D-AA2F-12C971BBB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7eceb-fc85-44ad-b2a4-3e682c8dcbfc"/>
    <ds:schemaRef ds:uri="78337373-c547-43d0-875c-96a7ce2ad5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45D18D-638B-4C1C-8568-B27DCF730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C6D14-E609-44F0-9ED7-AE9BE556A208}">
  <ds:schemaRefs>
    <ds:schemaRef ds:uri="http://schemas.microsoft.com/office/2006/metadata/properties"/>
    <ds:schemaRef ds:uri="http://schemas.microsoft.com/office/infopath/2007/PartnerControls"/>
    <ds:schemaRef ds:uri="78337373-c547-43d0-875c-96a7ce2ad5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Reed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Rico Castrillo</dc:creator>
  <cp:keywords/>
  <dc:description/>
  <cp:lastModifiedBy>Monica Rico Castrillo</cp:lastModifiedBy>
  <cp:revision>4</cp:revision>
  <dcterms:created xsi:type="dcterms:W3CDTF">2026-05-27T15:43:00Z</dcterms:created>
  <dcterms:modified xsi:type="dcterms:W3CDTF">2026-06-04T08:09:00Z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0x010100295C2A038AA2A9489F365E623231785F</vt:lpwstr>
  </property>
</Properties>
</file>