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04D0" w14:textId="77777777" w:rsidR="00E86F6E" w:rsidRPr="008B64C2" w:rsidRDefault="00E86F6E" w:rsidP="00E86F6E">
      <w:pPr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8B64C2">
        <w:rPr>
          <w:rFonts w:asciiTheme="majorHAnsi" w:hAnsiTheme="majorHAnsi" w:cstheme="majorHAnsi"/>
          <w:b/>
          <w:bCs/>
          <w:noProof/>
          <w:color w:val="50505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5F1BEC3" wp14:editId="16301516">
            <wp:simplePos x="0" y="0"/>
            <wp:positionH relativeFrom="margin">
              <wp:align>right</wp:align>
            </wp:positionH>
            <wp:positionV relativeFrom="paragraph">
              <wp:posOffset>6888</wp:posOffset>
            </wp:positionV>
            <wp:extent cx="1398270" cy="626110"/>
            <wp:effectExtent l="0" t="0" r="0" b="2540"/>
            <wp:wrapTight wrapText="bothSides">
              <wp:wrapPolygon edited="0">
                <wp:start x="0" y="0"/>
                <wp:lineTo x="0" y="21030"/>
                <wp:lineTo x="6768" y="21030"/>
                <wp:lineTo x="9123" y="21030"/>
                <wp:lineTo x="21188" y="21030"/>
                <wp:lineTo x="21188" y="2629"/>
                <wp:lineTo x="14125" y="0"/>
                <wp:lineTo x="0" y="0"/>
              </wp:wrapPolygon>
            </wp:wrapTight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mina Logo Black @1.5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4C2">
        <w:rPr>
          <w:rFonts w:asciiTheme="majorHAnsi" w:hAnsiTheme="majorHAnsi" w:cstheme="majorHAnsi"/>
          <w:b/>
          <w:bCs/>
          <w:color w:val="505050"/>
          <w:sz w:val="20"/>
          <w:szCs w:val="20"/>
        </w:rPr>
        <w:t>CONTACT INFORMATION:</w:t>
      </w:r>
    </w:p>
    <w:p w14:paraId="4ED46F6F" w14:textId="77777777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8B64C2">
        <w:rPr>
          <w:rFonts w:asciiTheme="majorHAnsi" w:hAnsiTheme="majorHAnsi" w:cstheme="majorHAnsi"/>
          <w:b/>
          <w:bCs/>
          <w:color w:val="505050"/>
          <w:sz w:val="20"/>
          <w:szCs w:val="20"/>
        </w:rPr>
        <w:t>Lumina Intelligence</w:t>
      </w:r>
    </w:p>
    <w:p w14:paraId="46C3E74A" w14:textId="221ECFFC" w:rsidR="00E86F6E" w:rsidRPr="008B64C2" w:rsidRDefault="001A4CBF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>
        <w:rPr>
          <w:rFonts w:asciiTheme="majorHAnsi" w:hAnsiTheme="majorHAnsi" w:cstheme="majorHAnsi"/>
          <w:b/>
          <w:bCs/>
          <w:color w:val="505050"/>
          <w:sz w:val="20"/>
          <w:szCs w:val="20"/>
        </w:rPr>
        <w:t>Monica Rico</w:t>
      </w:r>
    </w:p>
    <w:p w14:paraId="648CE649" w14:textId="3A1772C2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E86F6E">
        <w:rPr>
          <w:rFonts w:asciiTheme="majorHAnsi" w:hAnsiTheme="majorHAnsi" w:cstheme="majorHAnsi"/>
          <w:b/>
          <w:bCs/>
          <w:color w:val="505050"/>
          <w:sz w:val="20"/>
          <w:szCs w:val="20"/>
        </w:rPr>
        <w:t>+4420 76110434</w:t>
      </w:r>
    </w:p>
    <w:p w14:paraId="0C6B67A6" w14:textId="5494899A" w:rsidR="00E86F6E" w:rsidRPr="008B64C2" w:rsidRDefault="001A4CBF" w:rsidP="00E86F6E">
      <w:pPr>
        <w:spacing w:after="0" w:line="240" w:lineRule="auto"/>
        <w:rPr>
          <w:rStyle w:val="Hyperlink"/>
          <w:rFonts w:cstheme="majorHAnsi"/>
          <w:color w:val="505050"/>
          <w:sz w:val="20"/>
          <w:szCs w:val="20"/>
        </w:rPr>
      </w:pPr>
      <w:hyperlink r:id="rId9" w:history="1">
        <w:r w:rsidRPr="00397CFC">
          <w:rPr>
            <w:rStyle w:val="Hyperlink"/>
            <w:rFonts w:cstheme="majorHAnsi"/>
            <w:b/>
            <w:bCs/>
            <w:sz w:val="20"/>
            <w:szCs w:val="20"/>
          </w:rPr>
          <w:t>monica.ricocastrillo@lumina-intelligence.co.uk</w:t>
        </w:r>
      </w:hyperlink>
    </w:p>
    <w:p w14:paraId="0F73F8B7" w14:textId="77777777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F193ACD" w14:textId="7B48E477" w:rsidR="00E86F6E" w:rsidRDefault="00516B5B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11</w:t>
      </w:r>
      <w:r w:rsidR="00990767" w:rsidRPr="00990767">
        <w:rPr>
          <w:rFonts w:asciiTheme="majorHAnsi" w:hAnsiTheme="majorHAnsi" w:cstheme="majorHAnsi"/>
          <w:b/>
          <w:bCs/>
          <w:sz w:val="20"/>
          <w:szCs w:val="20"/>
          <w:u w:val="single"/>
          <w:vertAlign w:val="superscript"/>
        </w:rPr>
        <w:t>th</w:t>
      </w:r>
      <w:r w:rsidR="00990767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June</w:t>
      </w:r>
      <w:r w:rsidR="00990767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202</w:t>
      </w:r>
      <w:r w:rsidR="00E06481">
        <w:rPr>
          <w:rFonts w:asciiTheme="majorHAnsi" w:hAnsiTheme="majorHAnsi" w:cstheme="majorHAnsi"/>
          <w:b/>
          <w:bCs/>
          <w:sz w:val="20"/>
          <w:szCs w:val="20"/>
          <w:u w:val="single"/>
        </w:rPr>
        <w:t>6</w:t>
      </w:r>
    </w:p>
    <w:p w14:paraId="55C1DF4D" w14:textId="09A0725B" w:rsidR="005503B0" w:rsidRDefault="005503B0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6B4FB751" w14:textId="6C388959" w:rsidR="005503B0" w:rsidRDefault="005503B0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4E64D732" w14:textId="597FF223" w:rsidR="00E06481" w:rsidRDefault="00516B5B" w:rsidP="00E06481">
      <w:pPr>
        <w:rPr>
          <w:rFonts w:asciiTheme="majorHAnsi" w:eastAsiaTheme="majorEastAsia" w:hAnsiTheme="majorHAnsi" w:cstheme="majorBidi"/>
          <w:b/>
          <w:bCs/>
        </w:rPr>
      </w:pPr>
      <w:r w:rsidRPr="00516B5B">
        <w:rPr>
          <w:rFonts w:asciiTheme="majorHAnsi" w:eastAsiaTheme="majorEastAsia" w:hAnsiTheme="majorHAnsi" w:cstheme="majorBidi"/>
          <w:b/>
          <w:bCs/>
          <w:sz w:val="32"/>
          <w:szCs w:val="32"/>
        </w:rPr>
        <w:t>Staying In Reshapes UK Eating Out Market</w:t>
      </w:r>
    </w:p>
    <w:p w14:paraId="484C0678" w14:textId="77777777" w:rsidR="00516B5B" w:rsidRDefault="00516B5B" w:rsidP="00516B5B">
      <w:pPr>
        <w:rPr>
          <w:rFonts w:asciiTheme="majorHAnsi" w:eastAsiaTheme="majorEastAsia" w:hAnsiTheme="majorHAnsi" w:cstheme="majorBidi"/>
        </w:rPr>
      </w:pPr>
    </w:p>
    <w:p w14:paraId="35C3DE27" w14:textId="70820D7A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 xml:space="preserve">The UK eating out market is being reshaped by a growing preference for </w:t>
      </w:r>
      <w:r w:rsidRPr="00516B5B">
        <w:rPr>
          <w:rFonts w:asciiTheme="majorHAnsi" w:eastAsiaTheme="majorEastAsia" w:hAnsiTheme="majorHAnsi" w:cstheme="majorBidi"/>
          <w:b/>
          <w:bCs/>
        </w:rPr>
        <w:t>at-home dining, delivery and convenience</w:t>
      </w:r>
      <w:r w:rsidRPr="00516B5B">
        <w:rPr>
          <w:rFonts w:asciiTheme="majorHAnsi" w:eastAsiaTheme="majorEastAsia" w:hAnsiTheme="majorHAnsi" w:cstheme="majorBidi"/>
        </w:rPr>
        <w:t>, according to new insights from</w:t>
      </w:r>
      <w:r>
        <w:rPr>
          <w:rFonts w:asciiTheme="majorHAnsi" w:eastAsiaTheme="majorEastAsia" w:hAnsiTheme="majorHAnsi" w:cstheme="majorBidi"/>
        </w:rPr>
        <w:t xml:space="preserve"> </w:t>
      </w:r>
      <w:hyperlink r:id="rId10" w:history="1">
        <w:r w:rsidRPr="00077EAC">
          <w:rPr>
            <w:rStyle w:val="Hyperlink"/>
            <w:rFonts w:asciiTheme="majorHAnsi" w:eastAsiaTheme="majorEastAsia" w:hAnsiTheme="majorHAnsi" w:cstheme="majorBidi"/>
            <w:b/>
            <w:bCs/>
          </w:rPr>
          <w:t>Lumina Intelligence’s UK Eating Out Market Report 2026</w:t>
        </w:r>
      </w:hyperlink>
      <w:r w:rsidRPr="00E06481">
        <w:rPr>
          <w:rFonts w:asciiTheme="majorHAnsi" w:eastAsiaTheme="majorEastAsia" w:hAnsiTheme="majorHAnsi" w:cstheme="majorBidi"/>
        </w:rPr>
        <w:t>.</w:t>
      </w:r>
      <w:r w:rsidRPr="00516B5B">
        <w:rPr>
          <w:rFonts w:asciiTheme="majorHAnsi" w:eastAsiaTheme="majorEastAsia" w:hAnsiTheme="majorHAnsi" w:cstheme="majorBidi"/>
        </w:rPr>
        <w:t xml:space="preserve"> </w:t>
      </w:r>
    </w:p>
    <w:p w14:paraId="362E437A" w14:textId="77777777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 xml:space="preserve">While the market is forecast to reach </w:t>
      </w:r>
      <w:r w:rsidRPr="00516B5B">
        <w:rPr>
          <w:rFonts w:asciiTheme="majorHAnsi" w:eastAsiaTheme="majorEastAsia" w:hAnsiTheme="majorHAnsi" w:cstheme="majorBidi"/>
          <w:b/>
          <w:bCs/>
        </w:rPr>
        <w:t>£102.8bn in 2026 (+1.8%)</w:t>
      </w:r>
      <w:r w:rsidRPr="00516B5B">
        <w:rPr>
          <w:rFonts w:asciiTheme="majorHAnsi" w:eastAsiaTheme="majorEastAsia" w:hAnsiTheme="majorHAnsi" w:cstheme="majorBidi"/>
        </w:rPr>
        <w:t>, growth is increasingly being driven by how consumers eat, rather than how often they go out.</w:t>
      </w:r>
    </w:p>
    <w:p w14:paraId="27DF79D6" w14:textId="27A0FAE5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</w:p>
    <w:p w14:paraId="4351CA67" w14:textId="77777777" w:rsidR="00516B5B" w:rsidRPr="00516B5B" w:rsidRDefault="00516B5B" w:rsidP="00516B5B">
      <w:pPr>
        <w:rPr>
          <w:rFonts w:asciiTheme="majorHAnsi" w:eastAsiaTheme="majorEastAsia" w:hAnsiTheme="majorHAnsi" w:cstheme="majorBidi"/>
          <w:b/>
          <w:bCs/>
        </w:rPr>
      </w:pPr>
      <w:r w:rsidRPr="00516B5B">
        <w:rPr>
          <w:rFonts w:asciiTheme="majorHAnsi" w:eastAsiaTheme="majorEastAsia" w:hAnsiTheme="majorHAnsi" w:cstheme="majorBidi"/>
          <w:b/>
          <w:bCs/>
        </w:rPr>
        <w:t>Consumers shift towards home and convenience</w:t>
      </w:r>
    </w:p>
    <w:p w14:paraId="33CEAC15" w14:textId="77777777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>A structural shift is underway as consumers prioritise comfort, control and affordability. The “eating out” occasion is increasingly happening at home:</w:t>
      </w:r>
    </w:p>
    <w:p w14:paraId="1AAC733A" w14:textId="77777777" w:rsidR="00516B5B" w:rsidRPr="00516B5B" w:rsidRDefault="00516B5B" w:rsidP="00516B5B">
      <w:pPr>
        <w:numPr>
          <w:ilvl w:val="0"/>
          <w:numId w:val="2"/>
        </w:num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  <w:b/>
          <w:bCs/>
        </w:rPr>
        <w:t xml:space="preserve">62% of UK consumers </w:t>
      </w:r>
      <w:r w:rsidRPr="00516B5B">
        <w:rPr>
          <w:rFonts w:asciiTheme="majorHAnsi" w:eastAsiaTheme="majorEastAsia" w:hAnsiTheme="majorHAnsi" w:cstheme="majorBidi"/>
        </w:rPr>
        <w:t>now prefer</w:t>
      </w:r>
      <w:r w:rsidRPr="00516B5B">
        <w:rPr>
          <w:rFonts w:asciiTheme="majorHAnsi" w:eastAsiaTheme="majorEastAsia" w:hAnsiTheme="majorHAnsi" w:cstheme="majorBidi"/>
          <w:b/>
          <w:bCs/>
        </w:rPr>
        <w:t xml:space="preserve"> staying in </w:t>
      </w:r>
      <w:r w:rsidRPr="00516B5B">
        <w:rPr>
          <w:rFonts w:asciiTheme="majorHAnsi" w:eastAsiaTheme="majorEastAsia" w:hAnsiTheme="majorHAnsi" w:cstheme="majorBidi"/>
        </w:rPr>
        <w:t>over going out</w:t>
      </w:r>
    </w:p>
    <w:p w14:paraId="64CD4A7D" w14:textId="77777777" w:rsidR="00516B5B" w:rsidRPr="00516B5B" w:rsidRDefault="00516B5B" w:rsidP="00516B5B">
      <w:pPr>
        <w:numPr>
          <w:ilvl w:val="0"/>
          <w:numId w:val="2"/>
        </w:num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  <w:b/>
          <w:bCs/>
        </w:rPr>
        <w:t>Delivery is now growing faster than dine-in</w:t>
      </w:r>
      <w:r w:rsidRPr="00516B5B">
        <w:rPr>
          <w:rFonts w:asciiTheme="majorHAnsi" w:eastAsiaTheme="majorEastAsia" w:hAnsiTheme="majorHAnsi" w:cstheme="majorBidi"/>
        </w:rPr>
        <w:t>, with at-home consumption rising year-on-year</w:t>
      </w:r>
    </w:p>
    <w:p w14:paraId="32AF961F" w14:textId="77777777" w:rsidR="00516B5B" w:rsidRPr="00516B5B" w:rsidRDefault="00516B5B" w:rsidP="00516B5B">
      <w:pPr>
        <w:numPr>
          <w:ilvl w:val="0"/>
          <w:numId w:val="2"/>
        </w:num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  <w:b/>
          <w:bCs/>
        </w:rPr>
        <w:t>Penetration has declined to 56.8%</w:t>
      </w:r>
      <w:r w:rsidRPr="00516B5B">
        <w:rPr>
          <w:rFonts w:asciiTheme="majorHAnsi" w:eastAsiaTheme="majorEastAsia" w:hAnsiTheme="majorHAnsi" w:cstheme="majorBidi"/>
        </w:rPr>
        <w:t>, but those still eating out are doing so more frequently</w:t>
      </w:r>
    </w:p>
    <w:p w14:paraId="151EEEA4" w14:textId="77777777" w:rsidR="00516B5B" w:rsidRPr="00516B5B" w:rsidRDefault="00516B5B" w:rsidP="00516B5B">
      <w:pPr>
        <w:numPr>
          <w:ilvl w:val="0"/>
          <w:numId w:val="2"/>
        </w:num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>Rapid commerce is scaling quickly, with services like Tesco Whoosh now reaching over</w:t>
      </w:r>
      <w:r w:rsidRPr="00516B5B">
        <w:rPr>
          <w:rFonts w:asciiTheme="majorHAnsi" w:eastAsiaTheme="majorEastAsia" w:hAnsiTheme="majorHAnsi" w:cstheme="majorBidi"/>
          <w:b/>
          <w:bCs/>
        </w:rPr>
        <w:t xml:space="preserve"> 70% of households</w:t>
      </w:r>
    </w:p>
    <w:p w14:paraId="5EB5D913" w14:textId="65C5D9BD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</w:p>
    <w:p w14:paraId="0155A365" w14:textId="77777777" w:rsidR="00516B5B" w:rsidRPr="00516B5B" w:rsidRDefault="00516B5B" w:rsidP="00516B5B">
      <w:pPr>
        <w:rPr>
          <w:rFonts w:asciiTheme="majorHAnsi" w:eastAsiaTheme="majorEastAsia" w:hAnsiTheme="majorHAnsi" w:cstheme="majorBidi"/>
          <w:b/>
          <w:bCs/>
        </w:rPr>
      </w:pPr>
      <w:r w:rsidRPr="00516B5B">
        <w:rPr>
          <w:rFonts w:asciiTheme="majorHAnsi" w:eastAsiaTheme="majorEastAsia" w:hAnsiTheme="majorHAnsi" w:cstheme="majorBidi"/>
          <w:b/>
          <w:bCs/>
        </w:rPr>
        <w:t>Technology and formats redefine the market</w:t>
      </w:r>
    </w:p>
    <w:p w14:paraId="4D6A05F9" w14:textId="77777777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>As occasions shift, operators are rapidly adapting. Technology and new formats are becoming essential to remain competitive, with AI, delivery platforms and data-led loyalty now embedded across leading brands.</w:t>
      </w:r>
    </w:p>
    <w:p w14:paraId="777408B5" w14:textId="77777777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>At the same time, growth is concentrating in flexible, convenience-led formats such as food-to-go, drive-</w:t>
      </w:r>
      <w:proofErr w:type="spellStart"/>
      <w:r w:rsidRPr="00516B5B">
        <w:rPr>
          <w:rFonts w:asciiTheme="majorHAnsi" w:eastAsiaTheme="majorEastAsia" w:hAnsiTheme="majorHAnsi" w:cstheme="majorBidi"/>
        </w:rPr>
        <w:t>thrus</w:t>
      </w:r>
      <w:proofErr w:type="spellEnd"/>
      <w:r w:rsidRPr="00516B5B">
        <w:rPr>
          <w:rFonts w:asciiTheme="majorHAnsi" w:eastAsiaTheme="majorEastAsia" w:hAnsiTheme="majorHAnsi" w:cstheme="majorBidi"/>
        </w:rPr>
        <w:t xml:space="preserve"> and delivery kitchens, allowing operators to capture demand both in and out of home.</w:t>
      </w:r>
    </w:p>
    <w:p w14:paraId="397EF899" w14:textId="77777777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>This is widening the competitive landscape, as restaurants increasingly compete with retail, delivery platforms and at-home meal solutions.</w:t>
      </w:r>
    </w:p>
    <w:p w14:paraId="5713CE56" w14:textId="723F0A7D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</w:p>
    <w:p w14:paraId="2DDFA165" w14:textId="77777777" w:rsidR="00516B5B" w:rsidRPr="00516B5B" w:rsidRDefault="00516B5B" w:rsidP="00516B5B">
      <w:pPr>
        <w:rPr>
          <w:rFonts w:asciiTheme="majorHAnsi" w:eastAsiaTheme="majorEastAsia" w:hAnsiTheme="majorHAnsi" w:cstheme="majorBidi"/>
          <w:b/>
          <w:bCs/>
        </w:rPr>
      </w:pPr>
      <w:r w:rsidRPr="00516B5B">
        <w:rPr>
          <w:rFonts w:asciiTheme="majorHAnsi" w:eastAsiaTheme="majorEastAsia" w:hAnsiTheme="majorHAnsi" w:cstheme="majorBidi"/>
          <w:b/>
          <w:bCs/>
        </w:rPr>
        <w:t>A new definition of eating out</w:t>
      </w:r>
    </w:p>
    <w:p w14:paraId="773F6599" w14:textId="2753B022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>The result is a fundamental shift in what “eating out” means. Rather than being defined by location, it is now shaped by occasion, convenience and experience</w:t>
      </w:r>
      <w:r w:rsidRPr="00516B5B">
        <w:rPr>
          <w:rFonts w:asciiTheme="majorHAnsi" w:eastAsiaTheme="majorEastAsia" w:hAnsiTheme="majorHAnsi" w:cstheme="majorBidi"/>
        </w:rPr>
        <w:t xml:space="preserve">, </w:t>
      </w:r>
      <w:r w:rsidRPr="00516B5B">
        <w:rPr>
          <w:rFonts w:asciiTheme="majorHAnsi" w:eastAsiaTheme="majorEastAsia" w:hAnsiTheme="majorHAnsi" w:cstheme="majorBidi"/>
        </w:rPr>
        <w:t>wherever the consumer chooses to eat.</w:t>
      </w:r>
    </w:p>
    <w:p w14:paraId="56298A7A" w14:textId="77777777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t>Andy Crossan, Head of Insight at Lumina Intelligence, commented:</w:t>
      </w:r>
    </w:p>
    <w:p w14:paraId="5F298552" w14:textId="315838DD" w:rsidR="00516B5B" w:rsidRPr="00516B5B" w:rsidRDefault="00516B5B" w:rsidP="00516B5B">
      <w:pPr>
        <w:rPr>
          <w:rFonts w:asciiTheme="majorHAnsi" w:eastAsiaTheme="majorEastAsia" w:hAnsiTheme="majorHAnsi" w:cstheme="majorBidi"/>
        </w:rPr>
      </w:pPr>
      <w:r w:rsidRPr="00516B5B">
        <w:rPr>
          <w:rFonts w:asciiTheme="majorHAnsi" w:eastAsiaTheme="majorEastAsia" w:hAnsiTheme="majorHAnsi" w:cstheme="majorBidi"/>
        </w:rPr>
        <w:lastRenderedPageBreak/>
        <w:t>“</w:t>
      </w:r>
      <w:r w:rsidRPr="00516B5B">
        <w:rPr>
          <w:rFonts w:asciiTheme="majorHAnsi" w:eastAsiaTheme="majorEastAsia" w:hAnsiTheme="majorHAnsi" w:cstheme="majorBidi"/>
          <w:i/>
          <w:iCs/>
        </w:rPr>
        <w:t>The definition of eating out is changing. Growth is about capturing occasions wherever they happen.</w:t>
      </w:r>
      <w:r w:rsidRPr="00516B5B">
        <w:rPr>
          <w:rFonts w:asciiTheme="majorHAnsi" w:eastAsiaTheme="majorEastAsia" w:hAnsiTheme="majorHAnsi" w:cstheme="majorBidi"/>
          <w:i/>
          <w:iCs/>
        </w:rPr>
        <w:t xml:space="preserve"> </w:t>
      </w:r>
      <w:r w:rsidRPr="00516B5B">
        <w:rPr>
          <w:rFonts w:asciiTheme="majorHAnsi" w:eastAsiaTheme="majorEastAsia" w:hAnsiTheme="majorHAnsi" w:cstheme="majorBidi"/>
          <w:i/>
          <w:iCs/>
        </w:rPr>
        <w:t>Operators that can combine delivery, digital and flexible formats will be best placed to succeed in this evolving market</w:t>
      </w:r>
      <w:r w:rsidRPr="00516B5B">
        <w:rPr>
          <w:rFonts w:asciiTheme="majorHAnsi" w:eastAsiaTheme="majorEastAsia" w:hAnsiTheme="majorHAnsi" w:cstheme="majorBidi"/>
        </w:rPr>
        <w:t>.”</w:t>
      </w:r>
    </w:p>
    <w:p w14:paraId="52AF2A35" w14:textId="77777777" w:rsidR="00454218" w:rsidRDefault="00454218" w:rsidP="00BE3B0B"/>
    <w:p w14:paraId="7A0DB05A" w14:textId="4063E0AD" w:rsidR="0005459F" w:rsidRPr="0005459F" w:rsidRDefault="0005459F" w:rsidP="00BE3B0B">
      <w:r w:rsidRPr="0005459F">
        <w:t>END</w:t>
      </w:r>
    </w:p>
    <w:p w14:paraId="27F77509" w14:textId="77777777" w:rsidR="0005459F" w:rsidRDefault="0005459F" w:rsidP="00BE3B0B">
      <w:pPr>
        <w:rPr>
          <w:b/>
          <w:bCs/>
        </w:rPr>
      </w:pPr>
    </w:p>
    <w:p w14:paraId="301E3AB3" w14:textId="18DFEC42" w:rsidR="00484427" w:rsidRDefault="00484427" w:rsidP="00484427">
      <w:pPr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 xml:space="preserve">About the </w:t>
      </w:r>
      <w:r w:rsidR="00E06481">
        <w:rPr>
          <w:rFonts w:ascii="Arial" w:hAnsi="Arial" w:cs="Arial"/>
          <w:b/>
          <w:bCs/>
          <w:lang w:eastAsia="en-GB"/>
        </w:rPr>
        <w:t>report</w:t>
      </w:r>
    </w:p>
    <w:p w14:paraId="7988E105" w14:textId="1EF09E2A" w:rsidR="00033370" w:rsidRPr="00033370" w:rsidRDefault="00033370" w:rsidP="00033370">
      <w:r w:rsidRPr="00033370">
        <w:t xml:space="preserve">The </w:t>
      </w:r>
      <w:hyperlink r:id="rId11" w:history="1">
        <w:r w:rsidRPr="00033370">
          <w:rPr>
            <w:rStyle w:val="Hyperlink"/>
          </w:rPr>
          <w:t>Lumina Intelligence Eating Out Market Report 2026</w:t>
        </w:r>
      </w:hyperlink>
      <w:r w:rsidRPr="00033370">
        <w:t xml:space="preserve"> provides a comprehensive view of the UK foodservice market as it transitions from a prolonged period of inflationary pressure into a more stabilised, but highly competitive, trading environment.</w:t>
      </w:r>
    </w:p>
    <w:p w14:paraId="132D83C4" w14:textId="77777777" w:rsidR="00033370" w:rsidRPr="00033370" w:rsidRDefault="00033370" w:rsidP="00033370">
      <w:r w:rsidRPr="00033370">
        <w:t>Positioned as both a reflection on the current market landscape and a forward-looking guide to 2027 and beyond, the Eating Out Market Report 2026 equips operators, suppliers and investors with the insight needed to navigate an increasingly complex and fragmented foodservice market.</w:t>
      </w:r>
    </w:p>
    <w:p w14:paraId="3AFDF806" w14:textId="77777777" w:rsidR="00454218" w:rsidRDefault="00454218" w:rsidP="00BE3B0B"/>
    <w:p w14:paraId="140B5BA8" w14:textId="77777777" w:rsidR="00F40B65" w:rsidRPr="00F40B65" w:rsidRDefault="00F40B65" w:rsidP="00F40B65">
      <w:pPr>
        <w:rPr>
          <w:rFonts w:cstheme="minorHAnsi"/>
          <w:b/>
          <w:bCs/>
        </w:rPr>
      </w:pPr>
    </w:p>
    <w:p w14:paraId="12C804F1" w14:textId="77777777" w:rsidR="00F40B65" w:rsidRPr="00F40B65" w:rsidRDefault="00F40B65" w:rsidP="00F40B65">
      <w:pPr>
        <w:rPr>
          <w:rFonts w:cstheme="minorHAnsi"/>
          <w:b/>
          <w:bCs/>
        </w:rPr>
      </w:pPr>
      <w:r w:rsidRPr="00F40B65">
        <w:rPr>
          <w:rFonts w:cstheme="minorHAnsi"/>
          <w:b/>
          <w:bCs/>
        </w:rPr>
        <w:t>Who We Are:</w:t>
      </w:r>
    </w:p>
    <w:p w14:paraId="1E723AEA" w14:textId="77777777" w:rsidR="00F40B65" w:rsidRPr="00F40B65" w:rsidRDefault="00F40B65" w:rsidP="00F40B65">
      <w:pPr>
        <w:rPr>
          <w:rFonts w:cstheme="minorHAnsi"/>
        </w:rPr>
      </w:pPr>
      <w:hyperlink r:id="rId12" w:history="1">
        <w:r w:rsidRPr="00F40B65">
          <w:rPr>
            <w:rStyle w:val="Hyperlink"/>
            <w:rFonts w:cstheme="minorHAnsi"/>
          </w:rPr>
          <w:t>Lumina Intelligence</w:t>
        </w:r>
      </w:hyperlink>
      <w:r w:rsidRPr="00F40B65">
        <w:rPr>
          <w:rFonts w:cstheme="minorHAnsi"/>
        </w:rPr>
        <w:t xml:space="preserve"> helps food and drink brands understand their consumers and markets - so they can grow faster, plan smarter, and make better commercial decisions.</w:t>
      </w:r>
    </w:p>
    <w:p w14:paraId="1F4AE0AD" w14:textId="77777777" w:rsidR="00F40B65" w:rsidRPr="00F40B65" w:rsidRDefault="00F40B65" w:rsidP="00F40B65">
      <w:pPr>
        <w:rPr>
          <w:rFonts w:cstheme="minorHAnsi"/>
        </w:rPr>
      </w:pPr>
      <w:r w:rsidRPr="00F40B65">
        <w:rPr>
          <w:rFonts w:cstheme="minorHAnsi"/>
        </w:rPr>
        <w:t>We specialise in insight for grocery retail and hospitality, combining trusted data with expert analysis to support your commercial, category, and insight teams.</w:t>
      </w:r>
    </w:p>
    <w:p w14:paraId="169A1322" w14:textId="77777777" w:rsidR="00F40B65" w:rsidRPr="00F40B65" w:rsidRDefault="00F40B65" w:rsidP="00F40B65">
      <w:pPr>
        <w:rPr>
          <w:rFonts w:cstheme="minorHAnsi"/>
        </w:rPr>
      </w:pPr>
      <w:hyperlink r:id="rId13" w:history="1">
        <w:r w:rsidRPr="00F40B65">
          <w:rPr>
            <w:rStyle w:val="Hyperlink"/>
            <w:rFonts w:cstheme="minorHAnsi"/>
          </w:rPr>
          <w:t>https://www.lumina-intelligence.com/</w:t>
        </w:r>
      </w:hyperlink>
      <w:r w:rsidRPr="00F40B65">
        <w:rPr>
          <w:rFonts w:cstheme="minorHAnsi"/>
        </w:rPr>
        <w:t xml:space="preserve"> </w:t>
      </w:r>
    </w:p>
    <w:p w14:paraId="0D67BA9B" w14:textId="7B433FB0" w:rsidR="00E465FF" w:rsidRDefault="00E465FF" w:rsidP="00E86F6E"/>
    <w:sectPr w:rsidR="00E465FF" w:rsidSect="00141CF3">
      <w:pgSz w:w="11906" w:h="16838"/>
      <w:pgMar w:top="1440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93F"/>
    <w:multiLevelType w:val="multilevel"/>
    <w:tmpl w:val="E4AC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07C04"/>
    <w:multiLevelType w:val="multilevel"/>
    <w:tmpl w:val="F926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428861">
    <w:abstractNumId w:val="1"/>
  </w:num>
  <w:num w:numId="2" w16cid:durableId="192997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2B"/>
    <w:rsid w:val="000224F8"/>
    <w:rsid w:val="00033370"/>
    <w:rsid w:val="0005459F"/>
    <w:rsid w:val="0005697A"/>
    <w:rsid w:val="00077EAC"/>
    <w:rsid w:val="00141CF3"/>
    <w:rsid w:val="001A4CBF"/>
    <w:rsid w:val="001E269C"/>
    <w:rsid w:val="00224205"/>
    <w:rsid w:val="00282476"/>
    <w:rsid w:val="002A3B51"/>
    <w:rsid w:val="003710A8"/>
    <w:rsid w:val="003B5C03"/>
    <w:rsid w:val="004332B9"/>
    <w:rsid w:val="00454218"/>
    <w:rsid w:val="00484427"/>
    <w:rsid w:val="004C05A9"/>
    <w:rsid w:val="0050110C"/>
    <w:rsid w:val="00512B52"/>
    <w:rsid w:val="00516B5B"/>
    <w:rsid w:val="00520DDC"/>
    <w:rsid w:val="005503B0"/>
    <w:rsid w:val="00584D75"/>
    <w:rsid w:val="005C6BED"/>
    <w:rsid w:val="005F3169"/>
    <w:rsid w:val="006302EF"/>
    <w:rsid w:val="00645C76"/>
    <w:rsid w:val="0068623C"/>
    <w:rsid w:val="0069146D"/>
    <w:rsid w:val="006B68D3"/>
    <w:rsid w:val="006D2B2B"/>
    <w:rsid w:val="007033DF"/>
    <w:rsid w:val="00726EF3"/>
    <w:rsid w:val="007462A8"/>
    <w:rsid w:val="007809E2"/>
    <w:rsid w:val="007C11AE"/>
    <w:rsid w:val="007C29CE"/>
    <w:rsid w:val="00844A02"/>
    <w:rsid w:val="00862E37"/>
    <w:rsid w:val="00873A6C"/>
    <w:rsid w:val="008967F4"/>
    <w:rsid w:val="00896C04"/>
    <w:rsid w:val="008C2102"/>
    <w:rsid w:val="008D6CF7"/>
    <w:rsid w:val="008E79B8"/>
    <w:rsid w:val="0090390D"/>
    <w:rsid w:val="00942B78"/>
    <w:rsid w:val="009566F8"/>
    <w:rsid w:val="009724BC"/>
    <w:rsid w:val="009740ED"/>
    <w:rsid w:val="0098585D"/>
    <w:rsid w:val="00990767"/>
    <w:rsid w:val="009E4F1E"/>
    <w:rsid w:val="00A0427B"/>
    <w:rsid w:val="00A53CD0"/>
    <w:rsid w:val="00BE3B0B"/>
    <w:rsid w:val="00C22C33"/>
    <w:rsid w:val="00C318FA"/>
    <w:rsid w:val="00C370E6"/>
    <w:rsid w:val="00C7385B"/>
    <w:rsid w:val="00CF388F"/>
    <w:rsid w:val="00CF58EB"/>
    <w:rsid w:val="00D21343"/>
    <w:rsid w:val="00D259BD"/>
    <w:rsid w:val="00DB5B70"/>
    <w:rsid w:val="00E06481"/>
    <w:rsid w:val="00E069E8"/>
    <w:rsid w:val="00E22F34"/>
    <w:rsid w:val="00E40F74"/>
    <w:rsid w:val="00E465FF"/>
    <w:rsid w:val="00E86F6E"/>
    <w:rsid w:val="00EA6D59"/>
    <w:rsid w:val="00ED241B"/>
    <w:rsid w:val="00EE25EC"/>
    <w:rsid w:val="00EF0656"/>
    <w:rsid w:val="00F24DEE"/>
    <w:rsid w:val="00F356D1"/>
    <w:rsid w:val="00F40B65"/>
    <w:rsid w:val="00F558FA"/>
    <w:rsid w:val="00F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A5EA"/>
  <w15:chartTrackingRefBased/>
  <w15:docId w15:val="{2A8822F1-35BE-4E16-829D-3EE38836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1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4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B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1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86F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F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20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42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42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42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27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740ED"/>
    <w:rPr>
      <w:rFonts w:ascii="Times New Roman" w:hAnsi="Times New Roman" w:cs="Times New Roman"/>
      <w:sz w:val="24"/>
      <w:szCs w:val="24"/>
    </w:rPr>
  </w:style>
  <w:style w:type="paragraph" w:customStyle="1" w:styleId="Pa0">
    <w:name w:val="Pa0"/>
    <w:basedOn w:val="Normal"/>
    <w:uiPriority w:val="99"/>
    <w:rsid w:val="00484427"/>
    <w:pPr>
      <w:autoSpaceDE w:val="0"/>
      <w:autoSpaceDN w:val="0"/>
      <w:spacing w:after="0" w:line="241" w:lineRule="atLeast"/>
    </w:pPr>
    <w:rPr>
      <w:rFonts w:ascii="Graphik Regular" w:hAnsi="Graphik Regular" w:cs="Calibri"/>
      <w:sz w:val="24"/>
      <w:szCs w:val="24"/>
    </w:rPr>
  </w:style>
  <w:style w:type="character" w:customStyle="1" w:styleId="A2">
    <w:name w:val="A2"/>
    <w:basedOn w:val="DefaultParagraphFont"/>
    <w:uiPriority w:val="99"/>
    <w:rsid w:val="00484427"/>
    <w:rPr>
      <w:rFonts w:ascii="Graphik Regular" w:hAnsi="Graphik Regular" w:hint="default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4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B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5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5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6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umina-intelligence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umina-intelligenc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ore.lumina-intelligence.com/product/uk-eating-out-market-report-2026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tore.lumina-intelligence.com/product/uk-eating-out-market-report-2026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ca.ricocastrillo@lumina-intelligence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337373-c547-43d0-875c-96a7ce2ad5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C2A038AA2A9489F365E623231785F" ma:contentTypeVersion="14" ma:contentTypeDescription="Create a new document." ma:contentTypeScope="" ma:versionID="bbe8183be903a95a9af46b9e7f940ed1">
  <xsd:schema xmlns:xsd="http://www.w3.org/2001/XMLSchema" xmlns:xs="http://www.w3.org/2001/XMLSchema" xmlns:p="http://schemas.microsoft.com/office/2006/metadata/properties" xmlns:ns3="1fd7eceb-fc85-44ad-b2a4-3e682c8dcbfc" xmlns:ns4="78337373-c547-43d0-875c-96a7ce2ad59b" targetNamespace="http://schemas.microsoft.com/office/2006/metadata/properties" ma:root="true" ma:fieldsID="346003a15f1afcec85aaaf977d386759" ns3:_="" ns4:_="">
    <xsd:import namespace="1fd7eceb-fc85-44ad-b2a4-3e682c8dcbfc"/>
    <xsd:import namespace="78337373-c547-43d0-875c-96a7ce2ad5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7eceb-fc85-44ad-b2a4-3e682c8dcb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37373-c547-43d0-875c-96a7ce2ad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C6D14-E609-44F0-9ED7-AE9BE556A208}">
  <ds:schemaRefs>
    <ds:schemaRef ds:uri="http://schemas.microsoft.com/office/2006/metadata/properties"/>
    <ds:schemaRef ds:uri="http://schemas.microsoft.com/office/infopath/2007/PartnerControls"/>
    <ds:schemaRef ds:uri="78337373-c547-43d0-875c-96a7ce2ad59b"/>
  </ds:schemaRefs>
</ds:datastoreItem>
</file>

<file path=customXml/itemProps2.xml><?xml version="1.0" encoding="utf-8"?>
<ds:datastoreItem xmlns:ds="http://schemas.openxmlformats.org/officeDocument/2006/customXml" ds:itemID="{3345D18D-638B-4C1C-8568-B27DCF730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4072D4-F28E-466D-AA2F-12C971BBB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7eceb-fc85-44ad-b2a4-3e682c8dcbfc"/>
    <ds:schemaRef ds:uri="78337373-c547-43d0-875c-96a7ce2ad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Reed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Rico Castrillo</dc:creator>
  <cp:keywords/>
  <dc:description/>
  <cp:lastModifiedBy>Monica Rico Castrillo</cp:lastModifiedBy>
  <cp:revision>2</cp:revision>
  <dcterms:created xsi:type="dcterms:W3CDTF">2026-06-11T10:52:00Z</dcterms:created>
  <dcterms:modified xsi:type="dcterms:W3CDTF">2026-06-11T10:52:00Z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0x010100295C2A038AA2A9489F365E623231785F</vt:lpwstr>
  </property>
</Properties>
</file>