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04D0" w14:textId="77777777" w:rsidR="00E86F6E" w:rsidRPr="008B64C2" w:rsidRDefault="00E86F6E" w:rsidP="00E86F6E">
      <w:pPr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 w:rsidRPr="008B64C2">
        <w:rPr>
          <w:rFonts w:asciiTheme="majorHAnsi" w:hAnsiTheme="majorHAnsi" w:cstheme="majorHAnsi"/>
          <w:b/>
          <w:bCs/>
          <w:noProof/>
          <w:color w:val="50505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5F1BEC3" wp14:editId="16301516">
            <wp:simplePos x="0" y="0"/>
            <wp:positionH relativeFrom="margin">
              <wp:align>right</wp:align>
            </wp:positionH>
            <wp:positionV relativeFrom="paragraph">
              <wp:posOffset>6888</wp:posOffset>
            </wp:positionV>
            <wp:extent cx="1398270" cy="626110"/>
            <wp:effectExtent l="0" t="0" r="0" b="2540"/>
            <wp:wrapTight wrapText="bothSides">
              <wp:wrapPolygon edited="0">
                <wp:start x="0" y="0"/>
                <wp:lineTo x="0" y="21030"/>
                <wp:lineTo x="6768" y="21030"/>
                <wp:lineTo x="9123" y="21030"/>
                <wp:lineTo x="21188" y="21030"/>
                <wp:lineTo x="21188" y="2629"/>
                <wp:lineTo x="14125" y="0"/>
                <wp:lineTo x="0" y="0"/>
              </wp:wrapPolygon>
            </wp:wrapTight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mina Logo Black @1.5x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64C2">
        <w:rPr>
          <w:rFonts w:asciiTheme="majorHAnsi" w:hAnsiTheme="majorHAnsi" w:cstheme="majorHAnsi"/>
          <w:b/>
          <w:bCs/>
          <w:color w:val="505050"/>
          <w:sz w:val="20"/>
          <w:szCs w:val="20"/>
        </w:rPr>
        <w:t>CONTACT INFORMATION:</w:t>
      </w:r>
    </w:p>
    <w:p w14:paraId="4ED46F6F" w14:textId="77777777" w:rsidR="00E86F6E" w:rsidRPr="008B64C2" w:rsidRDefault="00E86F6E" w:rsidP="00E86F6E">
      <w:pPr>
        <w:spacing w:after="0" w:line="240" w:lineRule="auto"/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 w:rsidRPr="008B64C2">
        <w:rPr>
          <w:rFonts w:asciiTheme="majorHAnsi" w:hAnsiTheme="majorHAnsi" w:cstheme="majorHAnsi"/>
          <w:b/>
          <w:bCs/>
          <w:color w:val="505050"/>
          <w:sz w:val="20"/>
          <w:szCs w:val="20"/>
        </w:rPr>
        <w:t>Lumina Intelligence</w:t>
      </w:r>
    </w:p>
    <w:p w14:paraId="46C3E74A" w14:textId="221ECFFC" w:rsidR="00E86F6E" w:rsidRPr="008B64C2" w:rsidRDefault="001A4CBF" w:rsidP="00E86F6E">
      <w:pPr>
        <w:spacing w:after="0" w:line="240" w:lineRule="auto"/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>
        <w:rPr>
          <w:rFonts w:asciiTheme="majorHAnsi" w:hAnsiTheme="majorHAnsi" w:cstheme="majorHAnsi"/>
          <w:b/>
          <w:bCs/>
          <w:color w:val="505050"/>
          <w:sz w:val="20"/>
          <w:szCs w:val="20"/>
        </w:rPr>
        <w:t>Monica Rico</w:t>
      </w:r>
    </w:p>
    <w:p w14:paraId="648CE649" w14:textId="3A1772C2" w:rsidR="00E86F6E" w:rsidRPr="008B64C2" w:rsidRDefault="00E86F6E" w:rsidP="00E86F6E">
      <w:pPr>
        <w:spacing w:after="0" w:line="240" w:lineRule="auto"/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 w:rsidRPr="00E86F6E">
        <w:rPr>
          <w:rFonts w:asciiTheme="majorHAnsi" w:hAnsiTheme="majorHAnsi" w:cstheme="majorHAnsi"/>
          <w:b/>
          <w:bCs/>
          <w:color w:val="505050"/>
          <w:sz w:val="20"/>
          <w:szCs w:val="20"/>
        </w:rPr>
        <w:t>+4420 76110434</w:t>
      </w:r>
    </w:p>
    <w:p w14:paraId="0C6B67A6" w14:textId="5494899A" w:rsidR="00E86F6E" w:rsidRPr="008B64C2" w:rsidRDefault="001A4CBF" w:rsidP="00E86F6E">
      <w:pPr>
        <w:spacing w:after="0" w:line="240" w:lineRule="auto"/>
        <w:rPr>
          <w:rStyle w:val="Hyperlink"/>
          <w:rFonts w:cstheme="majorHAnsi"/>
          <w:color w:val="505050"/>
          <w:sz w:val="20"/>
          <w:szCs w:val="20"/>
        </w:rPr>
      </w:pPr>
      <w:hyperlink r:id="rId9" w:history="1">
        <w:r w:rsidRPr="00397CFC">
          <w:rPr>
            <w:rStyle w:val="Hyperlink"/>
            <w:rFonts w:cstheme="majorHAnsi"/>
            <w:b/>
            <w:bCs/>
            <w:sz w:val="20"/>
            <w:szCs w:val="20"/>
          </w:rPr>
          <w:t>monica.ricocastrillo@lumina-intelligence.co.uk</w:t>
        </w:r>
      </w:hyperlink>
    </w:p>
    <w:p w14:paraId="0F73F8B7" w14:textId="77777777" w:rsidR="00E86F6E" w:rsidRPr="008B64C2" w:rsidRDefault="00E86F6E" w:rsidP="00E86F6E">
      <w:pPr>
        <w:spacing w:after="0" w:line="240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F193ACD" w14:textId="57D81E2D" w:rsidR="00E86F6E" w:rsidRDefault="00A904C5" w:rsidP="00E86F6E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24</w:t>
      </w:r>
      <w:r w:rsidR="00990767" w:rsidRPr="00990767">
        <w:rPr>
          <w:rFonts w:asciiTheme="majorHAnsi" w:hAnsiTheme="majorHAnsi" w:cstheme="majorHAnsi"/>
          <w:b/>
          <w:bCs/>
          <w:sz w:val="20"/>
          <w:szCs w:val="20"/>
          <w:u w:val="single"/>
          <w:vertAlign w:val="superscript"/>
        </w:rPr>
        <w:t>th</w:t>
      </w:r>
      <w:r w:rsidR="00990767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r w:rsidR="00516B5B">
        <w:rPr>
          <w:rFonts w:asciiTheme="majorHAnsi" w:hAnsiTheme="majorHAnsi" w:cstheme="majorHAnsi"/>
          <w:b/>
          <w:bCs/>
          <w:sz w:val="20"/>
          <w:szCs w:val="20"/>
          <w:u w:val="single"/>
        </w:rPr>
        <w:t>June</w:t>
      </w:r>
      <w:r w:rsidR="00990767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202</w:t>
      </w:r>
      <w:r w:rsidR="00E06481">
        <w:rPr>
          <w:rFonts w:asciiTheme="majorHAnsi" w:hAnsiTheme="majorHAnsi" w:cstheme="majorHAnsi"/>
          <w:b/>
          <w:bCs/>
          <w:sz w:val="20"/>
          <w:szCs w:val="20"/>
          <w:u w:val="single"/>
        </w:rPr>
        <w:t>6</w:t>
      </w:r>
    </w:p>
    <w:p w14:paraId="55C1DF4D" w14:textId="09A0725B" w:rsidR="005503B0" w:rsidRDefault="005503B0" w:rsidP="00E86F6E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6B4FB751" w14:textId="6C388959" w:rsidR="005503B0" w:rsidRDefault="005503B0" w:rsidP="00E86F6E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484C0678" w14:textId="00D39031" w:rsidR="00516B5B" w:rsidRDefault="00A904C5" w:rsidP="00516B5B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  <w:b/>
          <w:bCs/>
          <w:sz w:val="32"/>
          <w:szCs w:val="32"/>
        </w:rPr>
        <w:t>Nearly 5% of UK Adults Now Using GLP 1 Drugs as Market Impact Extends Beyond Weight Loss</w:t>
      </w:r>
    </w:p>
    <w:p w14:paraId="3CF98462" w14:textId="77777777" w:rsidR="00A904C5" w:rsidRDefault="00A904C5" w:rsidP="00A904C5">
      <w:pPr>
        <w:rPr>
          <w:rFonts w:asciiTheme="majorHAnsi" w:eastAsiaTheme="majorEastAsia" w:hAnsiTheme="majorHAnsi" w:cstheme="majorBidi"/>
        </w:rPr>
      </w:pPr>
    </w:p>
    <w:p w14:paraId="5B6FA078" w14:textId="3916DBC2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Latest</w:t>
      </w:r>
      <w:r w:rsidRPr="00A904C5">
        <w:rPr>
          <w:rFonts w:asciiTheme="majorHAnsi" w:eastAsiaTheme="majorEastAsia" w:hAnsiTheme="majorHAnsi" w:cstheme="majorBidi"/>
        </w:rPr>
        <w:t xml:space="preserve"> research from Lumina Intelligence reveals that GLP</w:t>
      </w:r>
      <w:r w:rsidRPr="00A904C5">
        <w:rPr>
          <w:rFonts w:asciiTheme="majorHAnsi" w:eastAsiaTheme="majorEastAsia" w:hAnsiTheme="majorHAnsi" w:cstheme="majorBidi"/>
        </w:rPr>
        <w:noBreakHyphen/>
        <w:t>1 medications are reshaping UK consumer behaviour far beyond weight loss, with significant implications for food, retail and hospitality sectors.</w:t>
      </w:r>
    </w:p>
    <w:p w14:paraId="646C0098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 xml:space="preserve">According to the latest findings, </w:t>
      </w:r>
      <w:r w:rsidRPr="00A904C5">
        <w:rPr>
          <w:rFonts w:asciiTheme="majorHAnsi" w:eastAsiaTheme="majorEastAsia" w:hAnsiTheme="majorHAnsi" w:cstheme="majorBidi"/>
          <w:b/>
          <w:bCs/>
        </w:rPr>
        <w:t>4.7% of UK adults are currently using GLP</w:t>
      </w:r>
      <w:r w:rsidRPr="00A904C5">
        <w:rPr>
          <w:rFonts w:asciiTheme="majorHAnsi" w:eastAsiaTheme="majorEastAsia" w:hAnsiTheme="majorHAnsi" w:cstheme="majorBidi"/>
          <w:b/>
          <w:bCs/>
        </w:rPr>
        <w:noBreakHyphen/>
        <w:t>1 drugs</w:t>
      </w:r>
      <w:r w:rsidRPr="00A904C5">
        <w:rPr>
          <w:rFonts w:asciiTheme="majorHAnsi" w:eastAsiaTheme="majorEastAsia" w:hAnsiTheme="majorHAnsi" w:cstheme="majorBidi"/>
        </w:rPr>
        <w:t xml:space="preserve">, with a further </w:t>
      </w:r>
      <w:r w:rsidRPr="00A904C5">
        <w:rPr>
          <w:rFonts w:asciiTheme="majorHAnsi" w:eastAsiaTheme="majorEastAsia" w:hAnsiTheme="majorHAnsi" w:cstheme="majorBidi"/>
          <w:b/>
          <w:bCs/>
        </w:rPr>
        <w:t>9.6% considering adoption</w:t>
      </w:r>
      <w:r w:rsidRPr="00A904C5">
        <w:rPr>
          <w:rFonts w:asciiTheme="majorHAnsi" w:eastAsiaTheme="majorEastAsia" w:hAnsiTheme="majorHAnsi" w:cstheme="majorBidi"/>
        </w:rPr>
        <w:t>, signalling rapid market expansion. Uptake is expected to accelerate further as new formats, including pill-based treatments, enter the UK market.</w:t>
      </w:r>
    </w:p>
    <w:p w14:paraId="1E5FC1BB" w14:textId="77777777" w:rsidR="00A904C5" w:rsidRPr="00A904C5" w:rsidRDefault="00A904C5" w:rsidP="00A904C5">
      <w:pPr>
        <w:rPr>
          <w:rFonts w:asciiTheme="majorHAnsi" w:eastAsiaTheme="majorEastAsia" w:hAnsiTheme="majorHAnsi" w:cstheme="majorBidi"/>
          <w:b/>
          <w:bCs/>
        </w:rPr>
      </w:pPr>
      <w:r w:rsidRPr="00A904C5">
        <w:rPr>
          <w:rFonts w:asciiTheme="majorHAnsi" w:eastAsiaTheme="majorEastAsia" w:hAnsiTheme="majorHAnsi" w:cstheme="majorBidi"/>
          <w:b/>
          <w:bCs/>
        </w:rPr>
        <w:t>Affluent Millennials Driving Early Adoption</w:t>
      </w:r>
    </w:p>
    <w:p w14:paraId="5A97D5BC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 xml:space="preserve">The research identifies a clear core user group: </w:t>
      </w:r>
      <w:r w:rsidRPr="00A904C5">
        <w:rPr>
          <w:rFonts w:asciiTheme="majorHAnsi" w:eastAsiaTheme="majorEastAsia" w:hAnsiTheme="majorHAnsi" w:cstheme="majorBidi"/>
          <w:b/>
          <w:bCs/>
        </w:rPr>
        <w:t>affluent millennials aged 25–44</w:t>
      </w:r>
      <w:r w:rsidRPr="00A904C5">
        <w:rPr>
          <w:rFonts w:asciiTheme="majorHAnsi" w:eastAsiaTheme="majorEastAsia" w:hAnsiTheme="majorHAnsi" w:cstheme="majorBidi"/>
        </w:rPr>
        <w:t xml:space="preserve">, particularly those living in London. Nearly </w:t>
      </w:r>
      <w:r w:rsidRPr="00A904C5">
        <w:rPr>
          <w:rFonts w:asciiTheme="majorHAnsi" w:eastAsiaTheme="majorEastAsia" w:hAnsiTheme="majorHAnsi" w:cstheme="majorBidi"/>
          <w:b/>
          <w:bCs/>
        </w:rPr>
        <w:t>one in five current users reside in the capital</w:t>
      </w:r>
      <w:r w:rsidRPr="00A904C5">
        <w:rPr>
          <w:rFonts w:asciiTheme="majorHAnsi" w:eastAsiaTheme="majorEastAsia" w:hAnsiTheme="majorHAnsi" w:cstheme="majorBidi"/>
        </w:rPr>
        <w:t>, and a high proportion report household incomes exceeding £100,000.</w:t>
      </w:r>
    </w:p>
    <w:p w14:paraId="0DEF6CFC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>GLP</w:t>
      </w:r>
      <w:r w:rsidRPr="00A904C5">
        <w:rPr>
          <w:rFonts w:asciiTheme="majorHAnsi" w:eastAsiaTheme="majorEastAsia" w:hAnsiTheme="majorHAnsi" w:cstheme="majorBidi"/>
        </w:rPr>
        <w:noBreakHyphen/>
        <w:t>1 users are also more likely to live in family households, reinforcing their influence on broader purchasing habits.</w:t>
      </w:r>
    </w:p>
    <w:p w14:paraId="3534B14D" w14:textId="77777777" w:rsidR="00A904C5" w:rsidRPr="00A904C5" w:rsidRDefault="00A904C5" w:rsidP="00A904C5">
      <w:pPr>
        <w:rPr>
          <w:rFonts w:asciiTheme="majorHAnsi" w:eastAsiaTheme="majorEastAsia" w:hAnsiTheme="majorHAnsi" w:cstheme="majorBidi"/>
          <w:b/>
          <w:bCs/>
        </w:rPr>
      </w:pPr>
      <w:r w:rsidRPr="00A904C5">
        <w:rPr>
          <w:rFonts w:asciiTheme="majorHAnsi" w:eastAsiaTheme="majorEastAsia" w:hAnsiTheme="majorHAnsi" w:cstheme="majorBidi"/>
          <w:b/>
          <w:bCs/>
        </w:rPr>
        <w:t>A Highly Segmented Consumer Base</w:t>
      </w:r>
    </w:p>
    <w:p w14:paraId="4182A1D4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>Despite clear demographic trends, the report emphasises that GLP</w:t>
      </w:r>
      <w:r w:rsidRPr="00A904C5">
        <w:rPr>
          <w:rFonts w:asciiTheme="majorHAnsi" w:eastAsiaTheme="majorEastAsia" w:hAnsiTheme="majorHAnsi" w:cstheme="majorBidi"/>
        </w:rPr>
        <w:noBreakHyphen/>
        <w:t xml:space="preserve">1 users are </w:t>
      </w:r>
      <w:r w:rsidRPr="00A904C5">
        <w:rPr>
          <w:rFonts w:asciiTheme="majorHAnsi" w:eastAsiaTheme="majorEastAsia" w:hAnsiTheme="majorHAnsi" w:cstheme="majorBidi"/>
          <w:b/>
          <w:bCs/>
        </w:rPr>
        <w:t>not a homogenous group</w:t>
      </w:r>
      <w:r w:rsidRPr="00A904C5">
        <w:rPr>
          <w:rFonts w:asciiTheme="majorHAnsi" w:eastAsiaTheme="majorEastAsia" w:hAnsiTheme="majorHAnsi" w:cstheme="majorBidi"/>
        </w:rPr>
        <w:t>. Behaviour varies significantly across income and location, requiring more nuanced targeting from brands and operators.</w:t>
      </w:r>
    </w:p>
    <w:p w14:paraId="3D123833" w14:textId="2502DDA3" w:rsidR="007B0BC0" w:rsidRDefault="007B0BC0" w:rsidP="00A904C5">
      <w:pPr>
        <w:rPr>
          <w:rFonts w:asciiTheme="majorHAnsi" w:eastAsiaTheme="majorEastAsia" w:hAnsiTheme="majorHAnsi" w:cstheme="majorBidi"/>
        </w:rPr>
      </w:pPr>
      <w:r w:rsidRPr="007B0BC0">
        <w:rPr>
          <w:rFonts w:asciiTheme="majorHAnsi" w:eastAsiaTheme="majorEastAsia" w:hAnsiTheme="majorHAnsi" w:cstheme="majorBidi"/>
        </w:rPr>
        <w:t xml:space="preserve">Across segments, protein intake is a key priority. However, wider health behaviours differ significantly by demographic: </w:t>
      </w:r>
      <w:r w:rsidRPr="007B0BC0">
        <w:rPr>
          <w:rFonts w:asciiTheme="majorHAnsi" w:eastAsiaTheme="majorEastAsia" w:hAnsiTheme="majorHAnsi" w:cstheme="majorBidi"/>
          <w:b/>
          <w:bCs/>
        </w:rPr>
        <w:t>affluent</w:t>
      </w:r>
      <w:r w:rsidR="009E77DD">
        <w:rPr>
          <w:rFonts w:asciiTheme="majorHAnsi" w:eastAsiaTheme="majorEastAsia" w:hAnsiTheme="majorHAnsi" w:cstheme="majorBidi"/>
          <w:b/>
          <w:bCs/>
        </w:rPr>
        <w:t xml:space="preserve">, London-based, millennial </w:t>
      </w:r>
      <w:r w:rsidRPr="007B0BC0">
        <w:rPr>
          <w:rFonts w:asciiTheme="majorHAnsi" w:eastAsiaTheme="majorEastAsia" w:hAnsiTheme="majorHAnsi" w:cstheme="majorBidi"/>
          <w:b/>
          <w:bCs/>
        </w:rPr>
        <w:t>GLP</w:t>
      </w:r>
      <w:r w:rsidRPr="007B0BC0">
        <w:rPr>
          <w:rFonts w:asciiTheme="majorHAnsi" w:eastAsiaTheme="majorEastAsia" w:hAnsiTheme="majorHAnsi" w:cstheme="majorBidi"/>
          <w:b/>
          <w:bCs/>
        </w:rPr>
        <w:noBreakHyphen/>
        <w:t>1 users are more likely to exhibit health-conscious habits</w:t>
      </w:r>
      <w:r w:rsidRPr="007B0BC0">
        <w:rPr>
          <w:rFonts w:asciiTheme="majorHAnsi" w:eastAsiaTheme="majorEastAsia" w:hAnsiTheme="majorHAnsi" w:cstheme="majorBidi"/>
        </w:rPr>
        <w:t xml:space="preserve"> such as eating fruit and vegetables and working out regularly, </w:t>
      </w:r>
      <w:r w:rsidR="009E77DD">
        <w:rPr>
          <w:rFonts w:asciiTheme="majorHAnsi" w:eastAsiaTheme="majorEastAsia" w:hAnsiTheme="majorHAnsi" w:cstheme="majorBidi"/>
        </w:rPr>
        <w:t>while users outside that group</w:t>
      </w:r>
      <w:r w:rsidRPr="007B0BC0">
        <w:rPr>
          <w:rFonts w:asciiTheme="majorHAnsi" w:eastAsiaTheme="majorEastAsia" w:hAnsiTheme="majorHAnsi" w:cstheme="majorBidi"/>
        </w:rPr>
        <w:t xml:space="preserve"> are less likely to engage in these broader health behaviours compared to the total population.</w:t>
      </w:r>
    </w:p>
    <w:p w14:paraId="1628360E" w14:textId="69109ADE" w:rsidR="00A904C5" w:rsidRPr="00A904C5" w:rsidRDefault="00A904C5" w:rsidP="00A904C5">
      <w:pPr>
        <w:rPr>
          <w:rFonts w:asciiTheme="majorHAnsi" w:eastAsiaTheme="majorEastAsia" w:hAnsiTheme="majorHAnsi" w:cstheme="majorBidi"/>
          <w:b/>
          <w:bCs/>
        </w:rPr>
      </w:pPr>
      <w:r w:rsidRPr="00A904C5">
        <w:rPr>
          <w:rFonts w:asciiTheme="majorHAnsi" w:eastAsiaTheme="majorEastAsia" w:hAnsiTheme="majorHAnsi" w:cstheme="majorBidi"/>
          <w:b/>
          <w:bCs/>
        </w:rPr>
        <w:t>Major Shift in Food and Hospitality Behaviour</w:t>
      </w:r>
    </w:p>
    <w:p w14:paraId="1FAE871D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>GLP</w:t>
      </w:r>
      <w:r w:rsidRPr="00A904C5">
        <w:rPr>
          <w:rFonts w:asciiTheme="majorHAnsi" w:eastAsiaTheme="majorEastAsia" w:hAnsiTheme="majorHAnsi" w:cstheme="majorBidi"/>
        </w:rPr>
        <w:noBreakHyphen/>
        <w:t>1 usage is already reshaping out-of-home (OOH) consumption:</w:t>
      </w:r>
    </w:p>
    <w:p w14:paraId="058216B7" w14:textId="77777777" w:rsidR="00A904C5" w:rsidRPr="00A904C5" w:rsidRDefault="00A904C5" w:rsidP="00A904C5">
      <w:pPr>
        <w:numPr>
          <w:ilvl w:val="0"/>
          <w:numId w:val="3"/>
        </w:num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  <w:b/>
          <w:bCs/>
        </w:rPr>
        <w:t>Over 50% of users still eat out weekly</w:t>
      </w:r>
      <w:r w:rsidRPr="00A904C5">
        <w:rPr>
          <w:rFonts w:asciiTheme="majorHAnsi" w:eastAsiaTheme="majorEastAsia" w:hAnsiTheme="majorHAnsi" w:cstheme="majorBidi"/>
        </w:rPr>
        <w:t>, but their choices differ</w:t>
      </w:r>
    </w:p>
    <w:p w14:paraId="6AAE2047" w14:textId="77777777" w:rsidR="00A904C5" w:rsidRPr="00A904C5" w:rsidRDefault="00A904C5" w:rsidP="00A904C5">
      <w:pPr>
        <w:numPr>
          <w:ilvl w:val="0"/>
          <w:numId w:val="3"/>
        </w:num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  <w:b/>
          <w:bCs/>
        </w:rPr>
        <w:t>Restaurants and QSR outlets face declining share</w:t>
      </w:r>
      <w:r w:rsidRPr="00A904C5">
        <w:rPr>
          <w:rFonts w:asciiTheme="majorHAnsi" w:eastAsiaTheme="majorEastAsia" w:hAnsiTheme="majorHAnsi" w:cstheme="majorBidi"/>
        </w:rPr>
        <w:t xml:space="preserve"> among active users</w:t>
      </w:r>
    </w:p>
    <w:p w14:paraId="35192DAB" w14:textId="77777777" w:rsidR="00A904C5" w:rsidRPr="00A904C5" w:rsidRDefault="00A904C5" w:rsidP="00A904C5">
      <w:pPr>
        <w:numPr>
          <w:ilvl w:val="0"/>
          <w:numId w:val="3"/>
        </w:num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  <w:b/>
          <w:bCs/>
        </w:rPr>
        <w:t>Dinner, drinks and snack occasions are most impacted</w:t>
      </w:r>
    </w:p>
    <w:p w14:paraId="21F9C5DA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 xml:space="preserve">Users are cutting back on routine or convenience-driven occasions, while continuing to prioritise </w:t>
      </w:r>
      <w:r w:rsidRPr="00A904C5">
        <w:rPr>
          <w:rFonts w:asciiTheme="majorHAnsi" w:eastAsiaTheme="majorEastAsia" w:hAnsiTheme="majorHAnsi" w:cstheme="majorBidi"/>
          <w:b/>
          <w:bCs/>
        </w:rPr>
        <w:t>social dining, relaxation and high-quality food experiences</w:t>
      </w:r>
      <w:r w:rsidRPr="00A904C5">
        <w:rPr>
          <w:rFonts w:asciiTheme="majorHAnsi" w:eastAsiaTheme="majorEastAsia" w:hAnsiTheme="majorHAnsi" w:cstheme="majorBidi"/>
        </w:rPr>
        <w:t>.</w:t>
      </w:r>
    </w:p>
    <w:p w14:paraId="0627EFAD" w14:textId="77777777" w:rsidR="00A904C5" w:rsidRPr="00A904C5" w:rsidRDefault="00A904C5" w:rsidP="00A904C5">
      <w:pPr>
        <w:rPr>
          <w:rFonts w:asciiTheme="majorHAnsi" w:eastAsiaTheme="majorEastAsia" w:hAnsiTheme="majorHAnsi" w:cstheme="majorBidi"/>
          <w:b/>
          <w:bCs/>
        </w:rPr>
      </w:pPr>
      <w:r w:rsidRPr="00A904C5">
        <w:rPr>
          <w:rFonts w:asciiTheme="majorHAnsi" w:eastAsiaTheme="majorEastAsia" w:hAnsiTheme="majorHAnsi" w:cstheme="majorBidi"/>
          <w:b/>
          <w:bCs/>
        </w:rPr>
        <w:t>New Demand for Health-Led Food Innovation</w:t>
      </w:r>
    </w:p>
    <w:p w14:paraId="45226B28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>The study highlights growing demand for:</w:t>
      </w:r>
    </w:p>
    <w:p w14:paraId="5475B6EB" w14:textId="77777777" w:rsidR="00A904C5" w:rsidRPr="00A904C5" w:rsidRDefault="00A904C5" w:rsidP="00A904C5">
      <w:pPr>
        <w:numPr>
          <w:ilvl w:val="0"/>
          <w:numId w:val="4"/>
        </w:num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  <w:b/>
          <w:bCs/>
        </w:rPr>
        <w:lastRenderedPageBreak/>
        <w:t>High-protein, high-fibre products</w:t>
      </w:r>
    </w:p>
    <w:p w14:paraId="42F749F6" w14:textId="77777777" w:rsidR="00A904C5" w:rsidRPr="00A904C5" w:rsidRDefault="00A904C5" w:rsidP="00A904C5">
      <w:pPr>
        <w:numPr>
          <w:ilvl w:val="0"/>
          <w:numId w:val="4"/>
        </w:num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  <w:b/>
          <w:bCs/>
        </w:rPr>
        <w:t>Functional ingredients and “clean label” foods</w:t>
      </w:r>
    </w:p>
    <w:p w14:paraId="23DD2E1F" w14:textId="77777777" w:rsidR="00A904C5" w:rsidRPr="00A904C5" w:rsidRDefault="00A904C5" w:rsidP="00A904C5">
      <w:pPr>
        <w:numPr>
          <w:ilvl w:val="0"/>
          <w:numId w:val="4"/>
        </w:num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  <w:b/>
          <w:bCs/>
        </w:rPr>
        <w:t>Smaller portions with high nutritional density</w:t>
      </w:r>
    </w:p>
    <w:p w14:paraId="773F273C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>When dining out, GLP</w:t>
      </w:r>
      <w:r w:rsidRPr="00A904C5">
        <w:rPr>
          <w:rFonts w:asciiTheme="majorHAnsi" w:eastAsiaTheme="majorEastAsia" w:hAnsiTheme="majorHAnsi" w:cstheme="majorBidi"/>
        </w:rPr>
        <w:noBreakHyphen/>
        <w:t xml:space="preserve">1 users are more likely to choose </w:t>
      </w:r>
      <w:r w:rsidRPr="00A904C5">
        <w:rPr>
          <w:rFonts w:asciiTheme="majorHAnsi" w:eastAsiaTheme="majorEastAsia" w:hAnsiTheme="majorHAnsi" w:cstheme="majorBidi"/>
          <w:b/>
          <w:bCs/>
        </w:rPr>
        <w:t>lighter, shareable options</w:t>
      </w:r>
      <w:r w:rsidRPr="00A904C5">
        <w:rPr>
          <w:rFonts w:asciiTheme="majorHAnsi" w:eastAsiaTheme="majorEastAsia" w:hAnsiTheme="majorHAnsi" w:cstheme="majorBidi"/>
        </w:rPr>
        <w:t xml:space="preserve"> such as salads and wraps, while avoiding heavier items like fried foods, burgers and desserts.</w:t>
      </w:r>
    </w:p>
    <w:p w14:paraId="4CD1300B" w14:textId="77777777" w:rsidR="00A904C5" w:rsidRPr="00A904C5" w:rsidRDefault="00A904C5" w:rsidP="00A904C5">
      <w:pPr>
        <w:rPr>
          <w:rFonts w:asciiTheme="majorHAnsi" w:eastAsiaTheme="majorEastAsia" w:hAnsiTheme="majorHAnsi" w:cstheme="majorBidi"/>
          <w:b/>
          <w:bCs/>
        </w:rPr>
      </w:pPr>
      <w:r w:rsidRPr="00A904C5">
        <w:rPr>
          <w:rFonts w:asciiTheme="majorHAnsi" w:eastAsiaTheme="majorEastAsia" w:hAnsiTheme="majorHAnsi" w:cstheme="majorBidi"/>
          <w:b/>
          <w:bCs/>
        </w:rPr>
        <w:t>Opportunities for Retailers and Operators</w:t>
      </w:r>
    </w:p>
    <w:p w14:paraId="102CEA98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>The findings point to substantial opportunities for brands willing to adapt:</w:t>
      </w:r>
    </w:p>
    <w:p w14:paraId="26307F78" w14:textId="77777777" w:rsidR="00A904C5" w:rsidRPr="00A904C5" w:rsidRDefault="00A904C5" w:rsidP="00A904C5">
      <w:pPr>
        <w:numPr>
          <w:ilvl w:val="0"/>
          <w:numId w:val="5"/>
        </w:num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  <w:b/>
          <w:bCs/>
        </w:rPr>
        <w:t>Premium positioning</w:t>
      </w:r>
      <w:r w:rsidRPr="00A904C5">
        <w:rPr>
          <w:rFonts w:asciiTheme="majorHAnsi" w:eastAsiaTheme="majorEastAsia" w:hAnsiTheme="majorHAnsi" w:cstheme="majorBidi"/>
        </w:rPr>
        <w:t xml:space="preserve"> is key, with affluent users willing to pay more for quality</w:t>
      </w:r>
    </w:p>
    <w:p w14:paraId="2D96E58D" w14:textId="77777777" w:rsidR="00A904C5" w:rsidRPr="00A904C5" w:rsidRDefault="00A904C5" w:rsidP="00A904C5">
      <w:pPr>
        <w:numPr>
          <w:ilvl w:val="0"/>
          <w:numId w:val="5"/>
        </w:num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  <w:b/>
          <w:bCs/>
        </w:rPr>
        <w:t>Flexible portion sizes</w:t>
      </w:r>
      <w:r w:rsidRPr="00A904C5">
        <w:rPr>
          <w:rFonts w:asciiTheme="majorHAnsi" w:eastAsiaTheme="majorEastAsia" w:hAnsiTheme="majorHAnsi" w:cstheme="majorBidi"/>
        </w:rPr>
        <w:t xml:space="preserve"> and modular menus can better meet changing appetites</w:t>
      </w:r>
    </w:p>
    <w:p w14:paraId="10F12C97" w14:textId="77777777" w:rsidR="00A904C5" w:rsidRPr="00A904C5" w:rsidRDefault="00A904C5" w:rsidP="00A904C5">
      <w:pPr>
        <w:numPr>
          <w:ilvl w:val="0"/>
          <w:numId w:val="5"/>
        </w:num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  <w:b/>
          <w:bCs/>
        </w:rPr>
        <w:t>Clear nutritional information</w:t>
      </w:r>
      <w:r w:rsidRPr="00A904C5">
        <w:rPr>
          <w:rFonts w:asciiTheme="majorHAnsi" w:eastAsiaTheme="majorEastAsia" w:hAnsiTheme="majorHAnsi" w:cstheme="majorBidi"/>
        </w:rPr>
        <w:t xml:space="preserve"> and ingredient transparency are increasingly important</w:t>
      </w:r>
    </w:p>
    <w:p w14:paraId="0F485295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>Convenience stores, particularly in affluent urban areas, also stand to benefit from increased engagement among GLP</w:t>
      </w:r>
      <w:r w:rsidRPr="00A904C5">
        <w:rPr>
          <w:rFonts w:asciiTheme="majorHAnsi" w:eastAsiaTheme="majorEastAsia" w:hAnsiTheme="majorHAnsi" w:cstheme="majorBidi"/>
        </w:rPr>
        <w:noBreakHyphen/>
        <w:t>1 users.</w:t>
      </w:r>
    </w:p>
    <w:p w14:paraId="6494DAAB" w14:textId="77777777" w:rsidR="00A904C5" w:rsidRPr="00A904C5" w:rsidRDefault="00A904C5" w:rsidP="00A904C5">
      <w:pPr>
        <w:rPr>
          <w:rFonts w:asciiTheme="majorHAnsi" w:eastAsiaTheme="majorEastAsia" w:hAnsiTheme="majorHAnsi" w:cstheme="majorBidi"/>
          <w:b/>
          <w:bCs/>
        </w:rPr>
      </w:pPr>
      <w:r w:rsidRPr="00A904C5">
        <w:rPr>
          <w:rFonts w:asciiTheme="majorHAnsi" w:eastAsiaTheme="majorEastAsia" w:hAnsiTheme="majorHAnsi" w:cstheme="majorBidi"/>
          <w:b/>
          <w:bCs/>
        </w:rPr>
        <w:t>Looking Ahead</w:t>
      </w:r>
    </w:p>
    <w:p w14:paraId="3D95C955" w14:textId="77777777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>As GLP</w:t>
      </w:r>
      <w:r w:rsidRPr="00A904C5">
        <w:rPr>
          <w:rFonts w:asciiTheme="majorHAnsi" w:eastAsiaTheme="majorEastAsia" w:hAnsiTheme="majorHAnsi" w:cstheme="majorBidi"/>
        </w:rPr>
        <w:noBreakHyphen/>
        <w:t xml:space="preserve">1 availability expands, including via the NHS, the demographic profile of users is expected to broaden. However, the report concludes that </w:t>
      </w:r>
      <w:r w:rsidRPr="00A904C5">
        <w:rPr>
          <w:rFonts w:asciiTheme="majorHAnsi" w:eastAsiaTheme="majorEastAsia" w:hAnsiTheme="majorHAnsi" w:cstheme="majorBidi"/>
          <w:b/>
          <w:bCs/>
        </w:rPr>
        <w:t>demographics will remain a stronger driver of behaviour than medication use alone</w:t>
      </w:r>
      <w:r w:rsidRPr="00A904C5">
        <w:rPr>
          <w:rFonts w:asciiTheme="majorHAnsi" w:eastAsiaTheme="majorEastAsia" w:hAnsiTheme="majorHAnsi" w:cstheme="majorBidi"/>
        </w:rPr>
        <w:t>.</w:t>
      </w:r>
    </w:p>
    <w:p w14:paraId="36599B58" w14:textId="175C7ACE" w:rsidR="00A904C5" w:rsidRPr="00A904C5" w:rsidRDefault="00A904C5" w:rsidP="00A904C5">
      <w:pPr>
        <w:rPr>
          <w:rFonts w:asciiTheme="majorHAnsi" w:eastAsiaTheme="majorEastAsia" w:hAnsiTheme="majorHAnsi" w:cstheme="majorBidi"/>
        </w:rPr>
      </w:pPr>
      <w:r w:rsidRPr="00A904C5">
        <w:rPr>
          <w:rFonts w:asciiTheme="majorHAnsi" w:eastAsiaTheme="majorEastAsia" w:hAnsiTheme="majorHAnsi" w:cstheme="majorBidi"/>
        </w:rPr>
        <w:t>For the food and drink industry, the rise of GLP</w:t>
      </w:r>
      <w:r w:rsidRPr="00A904C5">
        <w:rPr>
          <w:rFonts w:asciiTheme="majorHAnsi" w:eastAsiaTheme="majorEastAsia" w:hAnsiTheme="majorHAnsi" w:cstheme="majorBidi"/>
        </w:rPr>
        <w:noBreakHyphen/>
        <w:t>1 represents a structural shift</w:t>
      </w:r>
      <w:r>
        <w:rPr>
          <w:rFonts w:asciiTheme="majorHAnsi" w:eastAsiaTheme="majorEastAsia" w:hAnsiTheme="majorHAnsi" w:cstheme="majorBidi"/>
        </w:rPr>
        <w:t xml:space="preserve"> – </w:t>
      </w:r>
      <w:r w:rsidRPr="00A904C5">
        <w:rPr>
          <w:rFonts w:asciiTheme="majorHAnsi" w:eastAsiaTheme="majorEastAsia" w:hAnsiTheme="majorHAnsi" w:cstheme="majorBidi"/>
        </w:rPr>
        <w:t xml:space="preserve">one that demands </w:t>
      </w:r>
      <w:r w:rsidRPr="00A904C5">
        <w:rPr>
          <w:rFonts w:asciiTheme="majorHAnsi" w:eastAsiaTheme="majorEastAsia" w:hAnsiTheme="majorHAnsi" w:cstheme="majorBidi"/>
          <w:b/>
          <w:bCs/>
        </w:rPr>
        <w:t>menu innovation, targeted strategies and a rethinking of portion, nutrition and value</w:t>
      </w:r>
      <w:r w:rsidRPr="00A904C5">
        <w:rPr>
          <w:rFonts w:asciiTheme="majorHAnsi" w:eastAsiaTheme="majorEastAsia" w:hAnsiTheme="majorHAnsi" w:cstheme="majorBidi"/>
        </w:rPr>
        <w:t>.</w:t>
      </w:r>
    </w:p>
    <w:p w14:paraId="52AF2A35" w14:textId="77777777" w:rsidR="00454218" w:rsidRDefault="00454218" w:rsidP="00BE3B0B"/>
    <w:p w14:paraId="7A0DB05A" w14:textId="4063E0AD" w:rsidR="0005459F" w:rsidRPr="0005459F" w:rsidRDefault="0005459F" w:rsidP="00BE3B0B">
      <w:r w:rsidRPr="0005459F">
        <w:t>END</w:t>
      </w:r>
    </w:p>
    <w:p w14:paraId="27F77509" w14:textId="77777777" w:rsidR="0005459F" w:rsidRDefault="0005459F" w:rsidP="00BE3B0B">
      <w:pPr>
        <w:rPr>
          <w:b/>
          <w:bCs/>
        </w:rPr>
      </w:pPr>
    </w:p>
    <w:p w14:paraId="4A70F7DD" w14:textId="77777777" w:rsidR="00A904C5" w:rsidRDefault="00A904C5" w:rsidP="00A904C5">
      <w:pPr>
        <w:rPr>
          <w:rFonts w:ascii="Arial" w:hAnsi="Arial" w:cs="Arial"/>
          <w:b/>
          <w:bCs/>
          <w:lang w:eastAsia="en-GB"/>
        </w:rPr>
      </w:pPr>
      <w:r w:rsidRPr="00A904C5">
        <w:rPr>
          <w:rFonts w:ascii="Arial" w:hAnsi="Arial" w:cs="Arial"/>
          <w:b/>
          <w:bCs/>
          <w:lang w:eastAsia="en-GB"/>
        </w:rPr>
        <w:t>About our GLP</w:t>
      </w:r>
      <w:r w:rsidRPr="00A904C5">
        <w:rPr>
          <w:rFonts w:ascii="Arial" w:hAnsi="Arial" w:cs="Arial"/>
          <w:b/>
          <w:bCs/>
          <w:lang w:eastAsia="en-GB"/>
        </w:rPr>
        <w:noBreakHyphen/>
        <w:t>1 Capabilities</w:t>
      </w:r>
    </w:p>
    <w:p w14:paraId="6BBD60A3" w14:textId="7A420EA9" w:rsidR="00A904C5" w:rsidRPr="00A904C5" w:rsidRDefault="00A904C5" w:rsidP="00A904C5">
      <w:pPr>
        <w:rPr>
          <w:rFonts w:ascii="Arial" w:hAnsi="Arial" w:cs="Arial"/>
          <w:lang w:eastAsia="en-GB"/>
        </w:rPr>
      </w:pPr>
      <w:hyperlink r:id="rId10" w:history="1">
        <w:r w:rsidRPr="00F40B65">
          <w:rPr>
            <w:rStyle w:val="Hyperlink"/>
            <w:rFonts w:cstheme="minorHAnsi"/>
          </w:rPr>
          <w:t>Lumina Intelligence</w:t>
        </w:r>
      </w:hyperlink>
      <w:r w:rsidRPr="00A904C5">
        <w:rPr>
          <w:rFonts w:ascii="Arial" w:hAnsi="Arial" w:cs="Arial"/>
          <w:lang w:eastAsia="en-GB"/>
        </w:rPr>
        <w:t>’s GLP</w:t>
      </w:r>
      <w:r w:rsidRPr="00A904C5">
        <w:rPr>
          <w:rFonts w:ascii="Arial" w:hAnsi="Arial" w:cs="Arial"/>
          <w:lang w:eastAsia="en-GB"/>
        </w:rPr>
        <w:noBreakHyphen/>
        <w:t>1</w:t>
      </w:r>
      <w:r w:rsidR="00A52061">
        <w:rPr>
          <w:rFonts w:ascii="Arial" w:hAnsi="Arial" w:cs="Arial"/>
          <w:lang w:eastAsia="en-GB"/>
        </w:rPr>
        <w:t xml:space="preserve"> data</w:t>
      </w:r>
      <w:r w:rsidRPr="00A904C5">
        <w:rPr>
          <w:rFonts w:ascii="Arial" w:hAnsi="Arial" w:cs="Arial"/>
          <w:lang w:eastAsia="en-GB"/>
        </w:rPr>
        <w:t xml:space="preserve"> </w:t>
      </w:r>
      <w:r w:rsidR="00A52061">
        <w:rPr>
          <w:rFonts w:ascii="Arial" w:hAnsi="Arial" w:cs="Arial"/>
          <w:lang w:eastAsia="en-GB"/>
        </w:rPr>
        <w:t>tracking</w:t>
      </w:r>
      <w:r w:rsidRPr="00A904C5">
        <w:rPr>
          <w:rFonts w:ascii="Arial" w:hAnsi="Arial" w:cs="Arial"/>
          <w:lang w:eastAsia="en-GB"/>
        </w:rPr>
        <w:t xml:space="preserve"> deliver</w:t>
      </w:r>
      <w:r w:rsidR="00A52061">
        <w:rPr>
          <w:rFonts w:ascii="Arial" w:hAnsi="Arial" w:cs="Arial"/>
          <w:lang w:eastAsia="en-GB"/>
        </w:rPr>
        <w:t>s</w:t>
      </w:r>
      <w:r w:rsidRPr="00A904C5">
        <w:rPr>
          <w:rFonts w:ascii="Arial" w:hAnsi="Arial" w:cs="Arial"/>
          <w:lang w:eastAsia="en-GB"/>
        </w:rPr>
        <w:t xml:space="preserve"> a real-time view of how </w:t>
      </w:r>
      <w:r>
        <w:rPr>
          <w:rFonts w:ascii="Arial" w:hAnsi="Arial" w:cs="Arial"/>
          <w:lang w:eastAsia="en-GB"/>
        </w:rPr>
        <w:t xml:space="preserve">weight loss </w:t>
      </w:r>
      <w:r w:rsidRPr="00A904C5">
        <w:rPr>
          <w:rFonts w:ascii="Arial" w:hAnsi="Arial" w:cs="Arial"/>
          <w:lang w:eastAsia="en-GB"/>
        </w:rPr>
        <w:t>medications are reshaping consumer behaviour across the UK. Through large-scale weekly tracking and targeted analysis, we monitor usage, intent and key demographic cohorts, alongside shifts in retail and out-of-home consumption.</w:t>
      </w:r>
    </w:p>
    <w:p w14:paraId="3AFDF806" w14:textId="61D3424C" w:rsidR="00454218" w:rsidRPr="00A904C5" w:rsidRDefault="00A904C5" w:rsidP="00BE3B0B">
      <w:pPr>
        <w:rPr>
          <w:rFonts w:ascii="Arial" w:hAnsi="Arial" w:cs="Arial"/>
          <w:lang w:eastAsia="en-GB"/>
        </w:rPr>
      </w:pPr>
      <w:r w:rsidRPr="00A904C5">
        <w:rPr>
          <w:rFonts w:ascii="Arial" w:hAnsi="Arial" w:cs="Arial"/>
          <w:lang w:eastAsia="en-GB"/>
        </w:rPr>
        <w:t>By translating complex behavioural change into clear, actionable insight, our GLP</w:t>
      </w:r>
      <w:r w:rsidRPr="00A904C5">
        <w:rPr>
          <w:rFonts w:ascii="Arial" w:hAnsi="Arial" w:cs="Arial"/>
          <w:lang w:eastAsia="en-GB"/>
        </w:rPr>
        <w:noBreakHyphen/>
        <w:t>1 capabilities help brands, operators and suppliers anticipate disruption, identify growth opportunities and make more confident strategic decisions in a rapidly evolving market.</w:t>
      </w:r>
    </w:p>
    <w:p w14:paraId="140B5BA8" w14:textId="77777777" w:rsidR="00F40B65" w:rsidRPr="00F40B65" w:rsidRDefault="00F40B65" w:rsidP="00F40B65">
      <w:pPr>
        <w:rPr>
          <w:rFonts w:cstheme="minorHAnsi"/>
          <w:b/>
          <w:bCs/>
        </w:rPr>
      </w:pPr>
    </w:p>
    <w:p w14:paraId="12C804F1" w14:textId="77777777" w:rsidR="00F40B65" w:rsidRPr="00F40B65" w:rsidRDefault="00F40B65" w:rsidP="00F40B65">
      <w:pPr>
        <w:rPr>
          <w:rFonts w:cstheme="minorHAnsi"/>
          <w:b/>
          <w:bCs/>
        </w:rPr>
      </w:pPr>
      <w:r w:rsidRPr="00F40B65">
        <w:rPr>
          <w:rFonts w:cstheme="minorHAnsi"/>
          <w:b/>
          <w:bCs/>
        </w:rPr>
        <w:t>Who We Are:</w:t>
      </w:r>
    </w:p>
    <w:p w14:paraId="1E723AEA" w14:textId="77777777" w:rsidR="00F40B65" w:rsidRPr="00F40B65" w:rsidRDefault="00F40B65" w:rsidP="00F40B65">
      <w:pPr>
        <w:rPr>
          <w:rFonts w:cstheme="minorHAnsi"/>
        </w:rPr>
      </w:pPr>
      <w:hyperlink r:id="rId11" w:history="1">
        <w:r w:rsidRPr="00F40B65">
          <w:rPr>
            <w:rStyle w:val="Hyperlink"/>
            <w:rFonts w:cstheme="minorHAnsi"/>
          </w:rPr>
          <w:t>Lumina Intelligence</w:t>
        </w:r>
      </w:hyperlink>
      <w:r w:rsidRPr="00F40B65">
        <w:rPr>
          <w:rFonts w:cstheme="minorHAnsi"/>
        </w:rPr>
        <w:t xml:space="preserve"> helps food and drink brands understand their consumers and markets - so they can grow faster, plan smarter, and make better commercial decisions.</w:t>
      </w:r>
    </w:p>
    <w:p w14:paraId="1F4AE0AD" w14:textId="77777777" w:rsidR="00F40B65" w:rsidRPr="00F40B65" w:rsidRDefault="00F40B65" w:rsidP="00F40B65">
      <w:pPr>
        <w:rPr>
          <w:rFonts w:cstheme="minorHAnsi"/>
        </w:rPr>
      </w:pPr>
      <w:r w:rsidRPr="00F40B65">
        <w:rPr>
          <w:rFonts w:cstheme="minorHAnsi"/>
        </w:rPr>
        <w:t>We specialise in insight for grocery retail and hospitality, combining trusted data with expert analysis to support your commercial, category, and insight teams.</w:t>
      </w:r>
    </w:p>
    <w:p w14:paraId="169A1322" w14:textId="77777777" w:rsidR="00F40B65" w:rsidRPr="00F40B65" w:rsidRDefault="00F40B65" w:rsidP="00F40B65">
      <w:pPr>
        <w:rPr>
          <w:rFonts w:cstheme="minorHAnsi"/>
        </w:rPr>
      </w:pPr>
      <w:hyperlink r:id="rId12" w:history="1">
        <w:r w:rsidRPr="00F40B65">
          <w:rPr>
            <w:rStyle w:val="Hyperlink"/>
            <w:rFonts w:cstheme="minorHAnsi"/>
          </w:rPr>
          <w:t>https://www.lumina-intelligence.com/</w:t>
        </w:r>
      </w:hyperlink>
      <w:r w:rsidRPr="00F40B65">
        <w:rPr>
          <w:rFonts w:cstheme="minorHAnsi"/>
        </w:rPr>
        <w:t xml:space="preserve"> </w:t>
      </w:r>
    </w:p>
    <w:p w14:paraId="0D67BA9B" w14:textId="7B433FB0" w:rsidR="00E465FF" w:rsidRDefault="00E465FF" w:rsidP="00E86F6E"/>
    <w:sectPr w:rsidR="00E465FF" w:rsidSect="00141CF3">
      <w:pgSz w:w="11906" w:h="16838"/>
      <w:pgMar w:top="1440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93F"/>
    <w:multiLevelType w:val="multilevel"/>
    <w:tmpl w:val="E4AC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43987"/>
    <w:multiLevelType w:val="multilevel"/>
    <w:tmpl w:val="6C22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30799"/>
    <w:multiLevelType w:val="multilevel"/>
    <w:tmpl w:val="4EC0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07C04"/>
    <w:multiLevelType w:val="multilevel"/>
    <w:tmpl w:val="F926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F1822"/>
    <w:multiLevelType w:val="multilevel"/>
    <w:tmpl w:val="EFBA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428861">
    <w:abstractNumId w:val="3"/>
  </w:num>
  <w:num w:numId="2" w16cid:durableId="1929970055">
    <w:abstractNumId w:val="0"/>
  </w:num>
  <w:num w:numId="3" w16cid:durableId="696200966">
    <w:abstractNumId w:val="4"/>
  </w:num>
  <w:num w:numId="4" w16cid:durableId="1541236396">
    <w:abstractNumId w:val="2"/>
  </w:num>
  <w:num w:numId="5" w16cid:durableId="435491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2B"/>
    <w:rsid w:val="000224F8"/>
    <w:rsid w:val="00033370"/>
    <w:rsid w:val="0005459F"/>
    <w:rsid w:val="0005697A"/>
    <w:rsid w:val="00077EAC"/>
    <w:rsid w:val="00141CF3"/>
    <w:rsid w:val="001A4CBF"/>
    <w:rsid w:val="001E269C"/>
    <w:rsid w:val="00224205"/>
    <w:rsid w:val="002404CC"/>
    <w:rsid w:val="00282476"/>
    <w:rsid w:val="002A3B51"/>
    <w:rsid w:val="003710A8"/>
    <w:rsid w:val="003B5C03"/>
    <w:rsid w:val="004332B9"/>
    <w:rsid w:val="00454218"/>
    <w:rsid w:val="00484427"/>
    <w:rsid w:val="004C05A9"/>
    <w:rsid w:val="0050110C"/>
    <w:rsid w:val="00512B52"/>
    <w:rsid w:val="00516B5B"/>
    <w:rsid w:val="00520DDC"/>
    <w:rsid w:val="005503B0"/>
    <w:rsid w:val="00584D75"/>
    <w:rsid w:val="005C6BED"/>
    <w:rsid w:val="005F3169"/>
    <w:rsid w:val="006302EF"/>
    <w:rsid w:val="00645C76"/>
    <w:rsid w:val="0068623C"/>
    <w:rsid w:val="0069146D"/>
    <w:rsid w:val="006B68D3"/>
    <w:rsid w:val="006D2B2B"/>
    <w:rsid w:val="007033DF"/>
    <w:rsid w:val="00726EF3"/>
    <w:rsid w:val="007462A8"/>
    <w:rsid w:val="007809E2"/>
    <w:rsid w:val="007B0BC0"/>
    <w:rsid w:val="007C11AE"/>
    <w:rsid w:val="007C29CE"/>
    <w:rsid w:val="00844A02"/>
    <w:rsid w:val="00862E37"/>
    <w:rsid w:val="00873A6C"/>
    <w:rsid w:val="008967F4"/>
    <w:rsid w:val="00896C04"/>
    <w:rsid w:val="008C2102"/>
    <w:rsid w:val="008D6CF7"/>
    <w:rsid w:val="008E79B8"/>
    <w:rsid w:val="009028F0"/>
    <w:rsid w:val="0090390D"/>
    <w:rsid w:val="00942B78"/>
    <w:rsid w:val="009566F8"/>
    <w:rsid w:val="009724BC"/>
    <w:rsid w:val="009740ED"/>
    <w:rsid w:val="0098585D"/>
    <w:rsid w:val="00990767"/>
    <w:rsid w:val="009E4F1E"/>
    <w:rsid w:val="009E77DD"/>
    <w:rsid w:val="00A0427B"/>
    <w:rsid w:val="00A52061"/>
    <w:rsid w:val="00A53CD0"/>
    <w:rsid w:val="00A904C5"/>
    <w:rsid w:val="00AB36DF"/>
    <w:rsid w:val="00BE3B0B"/>
    <w:rsid w:val="00C22C33"/>
    <w:rsid w:val="00C318FA"/>
    <w:rsid w:val="00C370E6"/>
    <w:rsid w:val="00C7385B"/>
    <w:rsid w:val="00CF388F"/>
    <w:rsid w:val="00CF58EB"/>
    <w:rsid w:val="00D21343"/>
    <w:rsid w:val="00D259BD"/>
    <w:rsid w:val="00DB5B70"/>
    <w:rsid w:val="00E06481"/>
    <w:rsid w:val="00E069E8"/>
    <w:rsid w:val="00E22F34"/>
    <w:rsid w:val="00E40F74"/>
    <w:rsid w:val="00E465FF"/>
    <w:rsid w:val="00E86F6E"/>
    <w:rsid w:val="00EA6D59"/>
    <w:rsid w:val="00ED241B"/>
    <w:rsid w:val="00EE25EC"/>
    <w:rsid w:val="00EF0656"/>
    <w:rsid w:val="00F24DEE"/>
    <w:rsid w:val="00F356D1"/>
    <w:rsid w:val="00F40B65"/>
    <w:rsid w:val="00F558FA"/>
    <w:rsid w:val="00FD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3A5EA"/>
  <w15:chartTrackingRefBased/>
  <w15:docId w15:val="{2A8822F1-35BE-4E16-829D-3EE38836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1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4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B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1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86F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F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420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42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42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42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2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27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740ED"/>
    <w:rPr>
      <w:rFonts w:ascii="Times New Roman" w:hAnsi="Times New Roman" w:cs="Times New Roman"/>
      <w:sz w:val="24"/>
      <w:szCs w:val="24"/>
    </w:rPr>
  </w:style>
  <w:style w:type="paragraph" w:customStyle="1" w:styleId="Pa0">
    <w:name w:val="Pa0"/>
    <w:basedOn w:val="Normal"/>
    <w:uiPriority w:val="99"/>
    <w:rsid w:val="00484427"/>
    <w:pPr>
      <w:autoSpaceDE w:val="0"/>
      <w:autoSpaceDN w:val="0"/>
      <w:spacing w:after="0" w:line="241" w:lineRule="atLeast"/>
    </w:pPr>
    <w:rPr>
      <w:rFonts w:ascii="Graphik Regular" w:hAnsi="Graphik Regular" w:cs="Calibri"/>
      <w:sz w:val="24"/>
      <w:szCs w:val="24"/>
    </w:rPr>
  </w:style>
  <w:style w:type="character" w:customStyle="1" w:styleId="A2">
    <w:name w:val="A2"/>
    <w:basedOn w:val="DefaultParagraphFont"/>
    <w:uiPriority w:val="99"/>
    <w:rsid w:val="00484427"/>
    <w:rPr>
      <w:rFonts w:ascii="Graphik Regular" w:hAnsi="Graphik Regular" w:hint="default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4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B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9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5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5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56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2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umina-intelligenc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umina-intelligence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umina-intelligence.com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ca.ricocastrillo@lumina-intelligence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337373-c547-43d0-875c-96a7ce2ad5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5C2A038AA2A9489F365E623231785F" ma:contentTypeVersion="14" ma:contentTypeDescription="Create a new document." ma:contentTypeScope="" ma:versionID="bbe8183be903a95a9af46b9e7f940ed1">
  <xsd:schema xmlns:xsd="http://www.w3.org/2001/XMLSchema" xmlns:xs="http://www.w3.org/2001/XMLSchema" xmlns:p="http://schemas.microsoft.com/office/2006/metadata/properties" xmlns:ns3="1fd7eceb-fc85-44ad-b2a4-3e682c8dcbfc" xmlns:ns4="78337373-c547-43d0-875c-96a7ce2ad59b" targetNamespace="http://schemas.microsoft.com/office/2006/metadata/properties" ma:root="true" ma:fieldsID="346003a15f1afcec85aaaf977d386759" ns3:_="" ns4:_="">
    <xsd:import namespace="1fd7eceb-fc85-44ad-b2a4-3e682c8dcbfc"/>
    <xsd:import namespace="78337373-c547-43d0-875c-96a7ce2ad5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7eceb-fc85-44ad-b2a4-3e682c8dcb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37373-c547-43d0-875c-96a7ce2ad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5D18D-638B-4C1C-8568-B27DCF730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FC6D14-E609-44F0-9ED7-AE9BE556A208}">
  <ds:schemaRefs>
    <ds:schemaRef ds:uri="http://schemas.microsoft.com/office/2006/metadata/properties"/>
    <ds:schemaRef ds:uri="http://schemas.microsoft.com/office/infopath/2007/PartnerControls"/>
    <ds:schemaRef ds:uri="78337373-c547-43d0-875c-96a7ce2ad59b"/>
  </ds:schemaRefs>
</ds:datastoreItem>
</file>

<file path=customXml/itemProps3.xml><?xml version="1.0" encoding="utf-8"?>
<ds:datastoreItem xmlns:ds="http://schemas.openxmlformats.org/officeDocument/2006/customXml" ds:itemID="{0F4072D4-F28E-466D-AA2F-12C971BBB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7eceb-fc85-44ad-b2a4-3e682c8dcbfc"/>
    <ds:schemaRef ds:uri="78337373-c547-43d0-875c-96a7ce2ad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Reed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Rico Castrillo</dc:creator>
  <cp:keywords/>
  <dc:description/>
  <cp:lastModifiedBy>Monica Rico Castrillo</cp:lastModifiedBy>
  <cp:revision>5</cp:revision>
  <dcterms:created xsi:type="dcterms:W3CDTF">2026-06-24T08:03:00Z</dcterms:created>
  <dcterms:modified xsi:type="dcterms:W3CDTF">2026-06-24T08:51:00Z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0x010100295C2A038AA2A9489F365E623231785F</vt:lpwstr>
  </property>
</Properties>
</file>