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04D0" w14:textId="029F1375" w:rsidR="00E86F6E" w:rsidRPr="008B64C2" w:rsidRDefault="00221971" w:rsidP="00E86F6E">
      <w:pPr>
        <w:rPr>
          <w:rFonts w:asciiTheme="majorHAnsi" w:hAnsiTheme="majorHAnsi" w:cstheme="majorHAnsi"/>
          <w:b/>
          <w:bCs/>
          <w:color w:val="505050"/>
          <w:sz w:val="20"/>
          <w:szCs w:val="20"/>
        </w:rPr>
      </w:pPr>
      <w:r w:rsidRPr="008B64C2">
        <w:rPr>
          <w:rFonts w:asciiTheme="majorHAnsi" w:hAnsiTheme="majorHAnsi" w:cstheme="majorHAnsi"/>
          <w:b/>
          <w:bCs/>
          <w:noProof/>
          <w:color w:val="505050"/>
          <w:sz w:val="20"/>
          <w:szCs w:val="20"/>
        </w:rPr>
        <w:drawing>
          <wp:anchor distT="0" distB="0" distL="114300" distR="114300" simplePos="0" relativeHeight="251661312" behindDoc="1" locked="0" layoutInCell="1" allowOverlap="1" wp14:anchorId="2BBA2AA0" wp14:editId="45486B7E">
            <wp:simplePos x="0" y="0"/>
            <wp:positionH relativeFrom="margin">
              <wp:align>right</wp:align>
            </wp:positionH>
            <wp:positionV relativeFrom="paragraph">
              <wp:posOffset>440</wp:posOffset>
            </wp:positionV>
            <wp:extent cx="1590675" cy="947420"/>
            <wp:effectExtent l="0" t="0" r="9525" b="5080"/>
            <wp:wrapThrough wrapText="bothSides">
              <wp:wrapPolygon edited="0">
                <wp:start x="0" y="0"/>
                <wp:lineTo x="0" y="21282"/>
                <wp:lineTo x="21471" y="21282"/>
                <wp:lineTo x="21471" y="0"/>
                <wp:lineTo x="0" y="0"/>
              </wp:wrapPolygon>
            </wp:wrapThrough>
            <wp:docPr id="911273846" name="Picture 911273846"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73846" name="Picture 911273846" descr="A black text on a white backgroun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0675" cy="947420"/>
                    </a:xfrm>
                    <a:prstGeom prst="rect">
                      <a:avLst/>
                    </a:prstGeom>
                  </pic:spPr>
                </pic:pic>
              </a:graphicData>
            </a:graphic>
            <wp14:sizeRelH relativeFrom="margin">
              <wp14:pctWidth>0</wp14:pctWidth>
            </wp14:sizeRelH>
            <wp14:sizeRelV relativeFrom="margin">
              <wp14:pctHeight>0</wp14:pctHeight>
            </wp14:sizeRelV>
          </wp:anchor>
        </w:drawing>
      </w:r>
      <w:r w:rsidR="00E86F6E" w:rsidRPr="008B64C2">
        <w:rPr>
          <w:rFonts w:asciiTheme="majorHAnsi" w:hAnsiTheme="majorHAnsi" w:cstheme="majorHAnsi"/>
          <w:b/>
          <w:bCs/>
          <w:noProof/>
          <w:color w:val="505050"/>
          <w:sz w:val="20"/>
          <w:szCs w:val="20"/>
        </w:rPr>
        <w:drawing>
          <wp:anchor distT="0" distB="0" distL="114300" distR="114300" simplePos="0" relativeHeight="251659264" behindDoc="1" locked="0" layoutInCell="1" allowOverlap="1" wp14:anchorId="35F1BEC3" wp14:editId="6A04629F">
            <wp:simplePos x="0" y="0"/>
            <wp:positionH relativeFrom="margin">
              <wp:posOffset>4505960</wp:posOffset>
            </wp:positionH>
            <wp:positionV relativeFrom="paragraph">
              <wp:posOffset>6985</wp:posOffset>
            </wp:positionV>
            <wp:extent cx="1050925" cy="626110"/>
            <wp:effectExtent l="0" t="0" r="0" b="2540"/>
            <wp:wrapTight wrapText="bothSides">
              <wp:wrapPolygon edited="0">
                <wp:start x="0" y="0"/>
                <wp:lineTo x="0" y="21030"/>
                <wp:lineTo x="21143" y="21030"/>
                <wp:lineTo x="211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0925" cy="626110"/>
                    </a:xfrm>
                    <a:prstGeom prst="rect">
                      <a:avLst/>
                    </a:prstGeom>
                  </pic:spPr>
                </pic:pic>
              </a:graphicData>
            </a:graphic>
            <wp14:sizeRelH relativeFrom="margin">
              <wp14:pctWidth>0</wp14:pctWidth>
            </wp14:sizeRelH>
            <wp14:sizeRelV relativeFrom="margin">
              <wp14:pctHeight>0</wp14:pctHeight>
            </wp14:sizeRelV>
          </wp:anchor>
        </w:drawing>
      </w:r>
      <w:r w:rsidR="00E86F6E" w:rsidRPr="008B64C2">
        <w:rPr>
          <w:rFonts w:asciiTheme="majorHAnsi" w:hAnsiTheme="majorHAnsi" w:cstheme="majorHAnsi"/>
          <w:b/>
          <w:bCs/>
          <w:color w:val="505050"/>
          <w:sz w:val="20"/>
          <w:szCs w:val="20"/>
        </w:rPr>
        <w:t>CONTACT INFORMATION:</w:t>
      </w:r>
    </w:p>
    <w:p w14:paraId="4ED46F6F" w14:textId="77777777" w:rsidR="00E86F6E" w:rsidRPr="008B64C2" w:rsidRDefault="00E86F6E" w:rsidP="00E86F6E">
      <w:pPr>
        <w:spacing w:after="0" w:line="240" w:lineRule="auto"/>
        <w:rPr>
          <w:rFonts w:asciiTheme="majorHAnsi" w:hAnsiTheme="majorHAnsi" w:cstheme="majorHAnsi"/>
          <w:b/>
          <w:bCs/>
          <w:color w:val="505050"/>
          <w:sz w:val="20"/>
          <w:szCs w:val="20"/>
        </w:rPr>
      </w:pPr>
      <w:r w:rsidRPr="008B64C2">
        <w:rPr>
          <w:rFonts w:asciiTheme="majorHAnsi" w:hAnsiTheme="majorHAnsi" w:cstheme="majorHAnsi"/>
          <w:b/>
          <w:bCs/>
          <w:color w:val="505050"/>
          <w:sz w:val="20"/>
          <w:szCs w:val="20"/>
        </w:rPr>
        <w:t>Lumina Intelligence</w:t>
      </w:r>
    </w:p>
    <w:p w14:paraId="46C3E74A" w14:textId="1C310AEB" w:rsidR="00E86F6E" w:rsidRPr="008B64C2" w:rsidRDefault="00790690" w:rsidP="00E86F6E">
      <w:pPr>
        <w:spacing w:after="0" w:line="240" w:lineRule="auto"/>
        <w:rPr>
          <w:rFonts w:asciiTheme="majorHAnsi" w:hAnsiTheme="majorHAnsi" w:cstheme="majorHAnsi"/>
          <w:b/>
          <w:bCs/>
          <w:color w:val="505050"/>
          <w:sz w:val="20"/>
          <w:szCs w:val="20"/>
        </w:rPr>
      </w:pPr>
      <w:r>
        <w:rPr>
          <w:rFonts w:asciiTheme="majorHAnsi" w:hAnsiTheme="majorHAnsi" w:cstheme="majorHAnsi"/>
          <w:b/>
          <w:bCs/>
          <w:color w:val="505050"/>
          <w:sz w:val="20"/>
          <w:szCs w:val="20"/>
        </w:rPr>
        <w:t>Monica Rico</w:t>
      </w:r>
    </w:p>
    <w:p w14:paraId="135E31C7" w14:textId="77777777" w:rsidR="00790690" w:rsidRDefault="00790690" w:rsidP="00E86F6E">
      <w:pPr>
        <w:spacing w:after="0" w:line="240" w:lineRule="auto"/>
        <w:rPr>
          <w:rFonts w:asciiTheme="majorHAnsi" w:hAnsiTheme="majorHAnsi" w:cstheme="majorHAnsi"/>
          <w:b/>
          <w:bCs/>
          <w:color w:val="505050"/>
          <w:sz w:val="20"/>
          <w:szCs w:val="20"/>
        </w:rPr>
      </w:pPr>
      <w:r w:rsidRPr="00790690">
        <w:rPr>
          <w:rFonts w:asciiTheme="majorHAnsi" w:hAnsiTheme="majorHAnsi" w:cstheme="majorHAnsi"/>
          <w:b/>
          <w:bCs/>
          <w:color w:val="505050"/>
          <w:sz w:val="20"/>
          <w:szCs w:val="20"/>
        </w:rPr>
        <w:t>+442076 110427</w:t>
      </w:r>
    </w:p>
    <w:p w14:paraId="0C6B67A6" w14:textId="23D18EB8" w:rsidR="00E86F6E" w:rsidRPr="008B64C2" w:rsidRDefault="00790690" w:rsidP="00E86F6E">
      <w:pPr>
        <w:spacing w:after="0" w:line="240" w:lineRule="auto"/>
        <w:rPr>
          <w:rStyle w:val="Hyperlink"/>
          <w:rFonts w:cstheme="majorHAnsi"/>
          <w:color w:val="505050"/>
          <w:sz w:val="20"/>
          <w:szCs w:val="20"/>
        </w:rPr>
      </w:pPr>
      <w:hyperlink r:id="rId6" w:history="1">
        <w:r w:rsidRPr="005140B3">
          <w:rPr>
            <w:rStyle w:val="Hyperlink"/>
            <w:rFonts w:cstheme="majorHAnsi"/>
            <w:b/>
            <w:bCs/>
            <w:sz w:val="20"/>
            <w:szCs w:val="20"/>
          </w:rPr>
          <w:t>monica.ricocastrillo@lumina-intelligence.co.uk</w:t>
        </w:r>
      </w:hyperlink>
    </w:p>
    <w:p w14:paraId="0F73F8B7" w14:textId="77777777" w:rsidR="00E86F6E" w:rsidRPr="008B64C2" w:rsidRDefault="00E86F6E" w:rsidP="00E86F6E">
      <w:pPr>
        <w:spacing w:after="0" w:line="240" w:lineRule="auto"/>
        <w:rPr>
          <w:rFonts w:asciiTheme="majorHAnsi" w:hAnsiTheme="majorHAnsi" w:cstheme="majorHAnsi"/>
          <w:sz w:val="20"/>
          <w:szCs w:val="20"/>
          <w:u w:val="single"/>
        </w:rPr>
      </w:pPr>
    </w:p>
    <w:p w14:paraId="6F193ACD" w14:textId="4193793C" w:rsidR="00E86F6E" w:rsidRPr="00944B93" w:rsidRDefault="00221971" w:rsidP="00E86F6E">
      <w:pPr>
        <w:spacing w:after="0" w:line="240" w:lineRule="auto"/>
        <w:rPr>
          <w:rFonts w:asciiTheme="majorHAnsi" w:hAnsiTheme="majorHAnsi" w:cstheme="majorHAnsi"/>
          <w:b/>
          <w:bCs/>
          <w:sz w:val="20"/>
          <w:szCs w:val="20"/>
          <w:u w:val="single"/>
        </w:rPr>
      </w:pPr>
      <w:r>
        <w:rPr>
          <w:rFonts w:asciiTheme="majorHAnsi" w:hAnsiTheme="majorHAnsi" w:cstheme="majorHAnsi"/>
          <w:b/>
          <w:bCs/>
          <w:sz w:val="20"/>
          <w:szCs w:val="20"/>
          <w:u w:val="single"/>
        </w:rPr>
        <w:t>24</w:t>
      </w:r>
      <w:r>
        <w:rPr>
          <w:rFonts w:asciiTheme="majorHAnsi" w:hAnsiTheme="majorHAnsi" w:cstheme="majorHAnsi"/>
          <w:b/>
          <w:bCs/>
          <w:sz w:val="20"/>
          <w:szCs w:val="20"/>
          <w:u w:val="single"/>
          <w:vertAlign w:val="superscript"/>
        </w:rPr>
        <w:t xml:space="preserve"> </w:t>
      </w:r>
      <w:r>
        <w:rPr>
          <w:rFonts w:asciiTheme="majorHAnsi" w:hAnsiTheme="majorHAnsi" w:cstheme="majorHAnsi"/>
          <w:b/>
          <w:bCs/>
          <w:sz w:val="20"/>
          <w:szCs w:val="20"/>
          <w:u w:val="single"/>
        </w:rPr>
        <w:t>July</w:t>
      </w:r>
      <w:r w:rsidR="00E86F6E" w:rsidRPr="008B64C2">
        <w:rPr>
          <w:rFonts w:asciiTheme="majorHAnsi" w:hAnsiTheme="majorHAnsi" w:cstheme="majorHAnsi"/>
          <w:b/>
          <w:bCs/>
          <w:sz w:val="20"/>
          <w:szCs w:val="20"/>
          <w:u w:val="single"/>
        </w:rPr>
        <w:t xml:space="preserve"> 202</w:t>
      </w:r>
      <w:r>
        <w:rPr>
          <w:rFonts w:asciiTheme="majorHAnsi" w:hAnsiTheme="majorHAnsi" w:cstheme="majorHAnsi"/>
          <w:b/>
          <w:bCs/>
          <w:sz w:val="20"/>
          <w:szCs w:val="20"/>
          <w:u w:val="single"/>
        </w:rPr>
        <w:t>6</w:t>
      </w:r>
    </w:p>
    <w:p w14:paraId="4B08798B" w14:textId="77777777" w:rsidR="005F3169" w:rsidRDefault="005F3169" w:rsidP="005F3169"/>
    <w:p w14:paraId="5D35BA05" w14:textId="77777777" w:rsidR="00221971" w:rsidRDefault="00221971" w:rsidP="00094AF9">
      <w:pPr>
        <w:rPr>
          <w:rFonts w:asciiTheme="majorHAnsi" w:eastAsiaTheme="majorEastAsia" w:hAnsiTheme="majorHAnsi" w:cstheme="majorBidi"/>
          <w:b/>
          <w:bCs/>
          <w:sz w:val="32"/>
          <w:szCs w:val="32"/>
        </w:rPr>
      </w:pPr>
      <w:r w:rsidRPr="00221971">
        <w:rPr>
          <w:rFonts w:asciiTheme="majorHAnsi" w:eastAsiaTheme="majorEastAsia" w:hAnsiTheme="majorHAnsi" w:cstheme="majorBidi"/>
          <w:b/>
          <w:bCs/>
          <w:sz w:val="32"/>
          <w:szCs w:val="32"/>
        </w:rPr>
        <w:t>UK Pub &amp; Bar Market Growth Continues Despite Closures and Cost Pressures</w:t>
      </w:r>
    </w:p>
    <w:p w14:paraId="63A698BA" w14:textId="73B168DF" w:rsidR="00221971" w:rsidRDefault="00221971" w:rsidP="00221971">
      <w:r>
        <w:t xml:space="preserve">The UK pub and bar market is forecast to grow by +2.0% to £24.7bn in 2026, despite continued outlet decline and mounting cost pressures. </w:t>
      </w:r>
      <w:hyperlink r:id="rId7" w:history="1">
        <w:r w:rsidR="00114693" w:rsidRPr="00114693">
          <w:rPr>
            <w:rStyle w:val="Hyperlink"/>
          </w:rPr>
          <w:t>Lumina Intelligence’s UK Pub &amp; Bar Market Report 2026</w:t>
        </w:r>
      </w:hyperlink>
      <w:r w:rsidR="00114693">
        <w:t xml:space="preserve"> signals that, w</w:t>
      </w:r>
      <w:r>
        <w:t>hile growth remains modest, the sector is demonstrating resilience as operators adapt to changing consumer behaviours, rising employment costs and an increasingly complex regulatory environment. Outlet numbers are forecast to fall by-0.9% to 41,171 sites, equivalent to around seven net closures per week.</w:t>
      </w:r>
    </w:p>
    <w:p w14:paraId="093E00D9" w14:textId="77777777" w:rsidR="00221971" w:rsidRPr="00221971" w:rsidRDefault="00221971" w:rsidP="00221971">
      <w:pPr>
        <w:rPr>
          <w:b/>
          <w:bCs/>
        </w:rPr>
      </w:pPr>
      <w:r w:rsidRPr="00221971">
        <w:rPr>
          <w:b/>
          <w:bCs/>
        </w:rPr>
        <w:t>Growth Is Being Driven by Stronger Sites, Not More Sites</w:t>
      </w:r>
    </w:p>
    <w:p w14:paraId="2AB3402D" w14:textId="443E6A04" w:rsidR="00221971" w:rsidRDefault="00221971" w:rsidP="00221971">
      <w:r>
        <w:t xml:space="preserve">Rather than relying on estate expansion, growth is increasingly coming from improved spend per visit, premium occasions and clearer proposition development. Operators are investing in experience-led formats, community engagement, accommodation and live sport to drive footfall and create more compelling reasons to visit. At the same time, franchise and partnership models are helping pub companies build more resilient and profitable estates. </w:t>
      </w:r>
    </w:p>
    <w:p w14:paraId="39B1D2CB" w14:textId="46FFDCA9" w:rsidR="00221971" w:rsidRPr="00221971" w:rsidRDefault="00221971" w:rsidP="00221971">
      <w:pPr>
        <w:rPr>
          <w:i/>
          <w:iCs/>
        </w:rPr>
      </w:pPr>
      <w:r w:rsidRPr="00221971">
        <w:rPr>
          <w:i/>
          <w:iCs/>
        </w:rPr>
        <w:t>"The pub market continues to face significant structural challenges, but the strongest operators are proving that growth is still achievable,"</w:t>
      </w:r>
      <w:r>
        <w:t xml:space="preserve"> said Adrian Kowalski, Insight Manager at Lumina Intelligence. </w:t>
      </w:r>
      <w:r w:rsidRPr="00221971">
        <w:rPr>
          <w:i/>
          <w:iCs/>
        </w:rPr>
        <w:t xml:space="preserve">“Success is increasingly determined by proposition clarity, operational efficiency and the ability to create occasions that consumers genuinely value." </w:t>
      </w:r>
    </w:p>
    <w:p w14:paraId="75F0846B" w14:textId="77777777" w:rsidR="00221971" w:rsidRPr="00221971" w:rsidRDefault="00221971" w:rsidP="00221971">
      <w:pPr>
        <w:rPr>
          <w:b/>
          <w:bCs/>
        </w:rPr>
      </w:pPr>
      <w:r w:rsidRPr="00221971">
        <w:rPr>
          <w:b/>
          <w:bCs/>
        </w:rPr>
        <w:t>Consumers Remain Engaged Despite Economic Pressures</w:t>
      </w:r>
    </w:p>
    <w:p w14:paraId="2714F26F" w14:textId="75A4A209" w:rsidR="00221971" w:rsidRDefault="00221971" w:rsidP="00221971">
      <w:r>
        <w:t xml:space="preserve">Although pub penetration softened during the year, those continuing to visit are spending more and visiting more often. Visit frequency increased by +0.8% and average spend rose by +1.1%, driven by younger adults, affluent consumers and urban locations. Social occasions remain the dominant reason to visit pubs, while treat-led occasions continue to gain share as consumers seek quality experiences and meaningful social connections. </w:t>
      </w:r>
    </w:p>
    <w:p w14:paraId="09476B31" w14:textId="77777777" w:rsidR="00221971" w:rsidRPr="00221971" w:rsidRDefault="00221971" w:rsidP="00221971">
      <w:pPr>
        <w:rPr>
          <w:b/>
          <w:bCs/>
        </w:rPr>
      </w:pPr>
      <w:r w:rsidRPr="00221971">
        <w:rPr>
          <w:b/>
          <w:bCs/>
        </w:rPr>
        <w:t>Outlook Remains Positive but Challenging</w:t>
      </w:r>
    </w:p>
    <w:p w14:paraId="0B721D8D" w14:textId="3CC0AC6A" w:rsidR="005F3169" w:rsidRDefault="00221971" w:rsidP="00221971">
      <w:r>
        <w:t xml:space="preserve">Looking ahead, growth is expected to remain below that of the wider eating out market. With labour costs, regulation and consumer caution continuing to weigh on performance, future growth will depend on operators improving site productivity, diversifying revenue streams and creating distinctive experiences that encourage consumers to visit more frequently and spend more when they do. </w:t>
      </w:r>
    </w:p>
    <w:p w14:paraId="7F16ACF6" w14:textId="24843892" w:rsidR="005F3169" w:rsidRDefault="00DB5B70" w:rsidP="005F3169">
      <w:r>
        <w:t>###</w:t>
      </w:r>
    </w:p>
    <w:p w14:paraId="64A43D0D" w14:textId="77777777" w:rsidR="00114693" w:rsidRDefault="00114693" w:rsidP="005F3169">
      <w:pPr>
        <w:rPr>
          <w:b/>
          <w:bCs/>
        </w:rPr>
      </w:pPr>
    </w:p>
    <w:p w14:paraId="30F8340F" w14:textId="7799DC45" w:rsidR="00DB5B70" w:rsidRPr="00114693" w:rsidRDefault="00114693" w:rsidP="005F3169">
      <w:pPr>
        <w:rPr>
          <w:b/>
          <w:bCs/>
        </w:rPr>
      </w:pPr>
      <w:r w:rsidRPr="00114693">
        <w:rPr>
          <w:b/>
          <w:bCs/>
        </w:rPr>
        <w:t xml:space="preserve">About the Report: </w:t>
      </w:r>
    </w:p>
    <w:p w14:paraId="27E2FC12" w14:textId="796F06A5" w:rsidR="00E86F6E" w:rsidRDefault="00E86F6E" w:rsidP="00CD09FF">
      <w:r w:rsidRPr="00E86F6E">
        <w:t xml:space="preserve">The </w:t>
      </w:r>
      <w:hyperlink r:id="rId8" w:history="1">
        <w:r w:rsidRPr="00114693">
          <w:rPr>
            <w:rStyle w:val="Hyperlink"/>
          </w:rPr>
          <w:t>Lumina Intelligence Pub &amp; Bar Market Report 202</w:t>
        </w:r>
        <w:r w:rsidR="00221971" w:rsidRPr="00114693">
          <w:rPr>
            <w:rStyle w:val="Hyperlink"/>
          </w:rPr>
          <w:t>6</w:t>
        </w:r>
      </w:hyperlink>
      <w:r w:rsidRPr="00E86F6E">
        <w:t xml:space="preserve"> is a must-have review of the UK pub &amp; bar market. Including market sizing and forecasts to 202</w:t>
      </w:r>
      <w:r w:rsidR="00221971">
        <w:t>9</w:t>
      </w:r>
      <w:r w:rsidRPr="00E86F6E">
        <w:t xml:space="preserve">, </w:t>
      </w:r>
      <w:r w:rsidR="00CD09FF">
        <w:t xml:space="preserve">up-to-date consumer behaviour </w:t>
      </w:r>
      <w:r w:rsidR="00CD09FF">
        <w:lastRenderedPageBreak/>
        <w:t>insight and analysis of the current pub &amp; bars competitive landscape, this report is a holistic source of intelligence on this channel for suppliers, operators, service providers and investors alike.</w:t>
      </w:r>
    </w:p>
    <w:p w14:paraId="51CD48C6" w14:textId="77777777" w:rsidR="0028094B" w:rsidRPr="00550F8E" w:rsidRDefault="0028094B" w:rsidP="0028094B">
      <w:pPr>
        <w:rPr>
          <w:b/>
          <w:bCs/>
        </w:rPr>
      </w:pPr>
      <w:r w:rsidRPr="00550F8E">
        <w:rPr>
          <w:b/>
          <w:bCs/>
        </w:rPr>
        <w:t>Who We Are:</w:t>
      </w:r>
    </w:p>
    <w:p w14:paraId="4B6DBB2E" w14:textId="77777777" w:rsidR="0028094B" w:rsidRDefault="0028094B" w:rsidP="0028094B">
      <w:hyperlink r:id="rId9" w:history="1">
        <w:r w:rsidRPr="004C05A9">
          <w:rPr>
            <w:rStyle w:val="Hyperlink"/>
            <w:rFonts w:cstheme="minorHAnsi"/>
          </w:rPr>
          <w:t>Lumina Intelligence</w:t>
        </w:r>
      </w:hyperlink>
      <w:r>
        <w:t xml:space="preserve"> helps food and drink brands understand their consumers and markets - so they can grow faster, plan smarter, and make better commercial decisions.</w:t>
      </w:r>
    </w:p>
    <w:p w14:paraId="4BB2B917" w14:textId="77777777" w:rsidR="0028094B" w:rsidRDefault="0028094B" w:rsidP="0028094B">
      <w:r>
        <w:t>We specialise in insight for grocery retail and hospitality, combining trusted data with expert analysis to support your commercial, category, and insight teams.</w:t>
      </w:r>
    </w:p>
    <w:p w14:paraId="227377FB" w14:textId="77777777" w:rsidR="0028094B" w:rsidRDefault="0028094B" w:rsidP="0028094B">
      <w:hyperlink r:id="rId10" w:history="1">
        <w:r w:rsidRPr="008F235E">
          <w:rPr>
            <w:rStyle w:val="Hyperlink"/>
          </w:rPr>
          <w:t>https://www.lumina-intelligence.com/</w:t>
        </w:r>
      </w:hyperlink>
      <w:r>
        <w:t xml:space="preserve"> </w:t>
      </w:r>
    </w:p>
    <w:p w14:paraId="0D67BA9B" w14:textId="7B433FB0" w:rsidR="00E465FF" w:rsidRDefault="00E465FF" w:rsidP="0028094B"/>
    <w:sectPr w:rsidR="00E46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2B"/>
    <w:rsid w:val="00094AF9"/>
    <w:rsid w:val="000C2580"/>
    <w:rsid w:val="00114693"/>
    <w:rsid w:val="00221971"/>
    <w:rsid w:val="0028094B"/>
    <w:rsid w:val="002A07B2"/>
    <w:rsid w:val="00321EAE"/>
    <w:rsid w:val="00344384"/>
    <w:rsid w:val="00453B66"/>
    <w:rsid w:val="00521766"/>
    <w:rsid w:val="005F3169"/>
    <w:rsid w:val="00624820"/>
    <w:rsid w:val="006D2B2B"/>
    <w:rsid w:val="00790690"/>
    <w:rsid w:val="007C11AE"/>
    <w:rsid w:val="008C7AB1"/>
    <w:rsid w:val="00CC2CD3"/>
    <w:rsid w:val="00CD09FF"/>
    <w:rsid w:val="00DB5B70"/>
    <w:rsid w:val="00E465FF"/>
    <w:rsid w:val="00E86F6E"/>
    <w:rsid w:val="00EB640F"/>
    <w:rsid w:val="00F46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A5EA"/>
  <w15:chartTrackingRefBased/>
  <w15:docId w15:val="{2A8822F1-35BE-4E16-829D-3EE38836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1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16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86F6E"/>
    <w:rPr>
      <w:color w:val="0563C1" w:themeColor="hyperlink"/>
      <w:u w:val="single"/>
    </w:rPr>
  </w:style>
  <w:style w:type="character" w:styleId="UnresolvedMention">
    <w:name w:val="Unresolved Mention"/>
    <w:basedOn w:val="DefaultParagraphFont"/>
    <w:uiPriority w:val="99"/>
    <w:semiHidden/>
    <w:unhideWhenUsed/>
    <w:rsid w:val="00E86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8887">
      <w:bodyDiv w:val="1"/>
      <w:marLeft w:val="0"/>
      <w:marRight w:val="0"/>
      <w:marTop w:val="0"/>
      <w:marBottom w:val="0"/>
      <w:divBdr>
        <w:top w:val="none" w:sz="0" w:space="0" w:color="auto"/>
        <w:left w:val="none" w:sz="0" w:space="0" w:color="auto"/>
        <w:bottom w:val="none" w:sz="0" w:space="0" w:color="auto"/>
        <w:right w:val="none" w:sz="0" w:space="0" w:color="auto"/>
      </w:divBdr>
    </w:div>
    <w:div w:id="600841519">
      <w:bodyDiv w:val="1"/>
      <w:marLeft w:val="0"/>
      <w:marRight w:val="0"/>
      <w:marTop w:val="0"/>
      <w:marBottom w:val="0"/>
      <w:divBdr>
        <w:top w:val="none" w:sz="0" w:space="0" w:color="auto"/>
        <w:left w:val="none" w:sz="0" w:space="0" w:color="auto"/>
        <w:bottom w:val="none" w:sz="0" w:space="0" w:color="auto"/>
        <w:right w:val="none" w:sz="0" w:space="0" w:color="auto"/>
      </w:divBdr>
    </w:div>
    <w:div w:id="613901344">
      <w:bodyDiv w:val="1"/>
      <w:marLeft w:val="0"/>
      <w:marRight w:val="0"/>
      <w:marTop w:val="0"/>
      <w:marBottom w:val="0"/>
      <w:divBdr>
        <w:top w:val="none" w:sz="0" w:space="0" w:color="auto"/>
        <w:left w:val="none" w:sz="0" w:space="0" w:color="auto"/>
        <w:bottom w:val="none" w:sz="0" w:space="0" w:color="auto"/>
        <w:right w:val="none" w:sz="0" w:space="0" w:color="auto"/>
      </w:divBdr>
    </w:div>
    <w:div w:id="80354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lumina-intelligence.com/product/uk-pub-bar-market-report-2026/" TargetMode="External"/><Relationship Id="rId3" Type="http://schemas.openxmlformats.org/officeDocument/2006/relationships/webSettings" Target="webSettings.xml"/><Relationship Id="rId7" Type="http://schemas.openxmlformats.org/officeDocument/2006/relationships/hyperlink" Target="https://store.lumina-intelligence.com/product/uk-pub-bar-market-report-202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nica.ricocastrillo@lumina-intelligence.co.uk"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lumina-intelligence.com/" TargetMode="External"/><Relationship Id="rId4" Type="http://schemas.openxmlformats.org/officeDocument/2006/relationships/image" Target="media/image1.png"/><Relationship Id="rId9" Type="http://schemas.openxmlformats.org/officeDocument/2006/relationships/hyperlink" Target="https://www.lumina-intellige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514</Words>
  <Characters>3120</Characters>
  <Application>Microsoft Office Word</Application>
  <DocSecurity>0</DocSecurity>
  <Lines>57</Lines>
  <Paragraphs>26</Paragraphs>
  <ScaleCrop>false</ScaleCrop>
  <Company>William Reed</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Jankowski</dc:creator>
  <cp:keywords/>
  <dc:description/>
  <cp:lastModifiedBy>Monica Rico Castrillo</cp:lastModifiedBy>
  <cp:revision>3</cp:revision>
  <dcterms:created xsi:type="dcterms:W3CDTF">2026-07-24T15:32:00Z</dcterms:created>
  <dcterms:modified xsi:type="dcterms:W3CDTF">2026-07-28T11:37:00Z</dcterms:modified>
</cp:coreProperties>
</file>