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C8C3" w14:textId="77777777" w:rsidR="001B10D8" w:rsidRPr="001B2381" w:rsidRDefault="001B10D8" w:rsidP="001B10D8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1B2381"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E5DE21F" wp14:editId="04414559">
            <wp:simplePos x="0" y="0"/>
            <wp:positionH relativeFrom="margin">
              <wp:posOffset>4389120</wp:posOffset>
            </wp:positionH>
            <wp:positionV relativeFrom="paragraph">
              <wp:posOffset>9525</wp:posOffset>
            </wp:positionV>
            <wp:extent cx="1287145" cy="626110"/>
            <wp:effectExtent l="0" t="0" r="8255" b="2540"/>
            <wp:wrapTight wrapText="bothSides">
              <wp:wrapPolygon edited="0">
                <wp:start x="0" y="0"/>
                <wp:lineTo x="0" y="20373"/>
                <wp:lineTo x="7353" y="21030"/>
                <wp:lineTo x="9910" y="21030"/>
                <wp:lineTo x="21419" y="19716"/>
                <wp:lineTo x="21419" y="1314"/>
                <wp:lineTo x="140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381">
        <w:rPr>
          <w:rFonts w:asciiTheme="majorHAnsi" w:hAnsiTheme="majorHAnsi" w:cstheme="majorHAnsi"/>
          <w:b/>
          <w:bCs/>
          <w:sz w:val="20"/>
          <w:szCs w:val="20"/>
        </w:rPr>
        <w:t>CONTACT INFORMATION:</w:t>
      </w:r>
    </w:p>
    <w:p w14:paraId="56B4B3C9" w14:textId="77777777" w:rsidR="001B10D8" w:rsidRPr="001B2381" w:rsidRDefault="001B10D8" w:rsidP="001B10D8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1B2381">
        <w:rPr>
          <w:rFonts w:asciiTheme="majorHAnsi" w:hAnsiTheme="majorHAnsi" w:cstheme="majorHAnsi"/>
          <w:b/>
          <w:bCs/>
          <w:sz w:val="20"/>
          <w:szCs w:val="20"/>
        </w:rPr>
        <w:t>Lumina Intelligence</w:t>
      </w:r>
    </w:p>
    <w:p w14:paraId="6D6202C7" w14:textId="77777777" w:rsidR="001B10D8" w:rsidRPr="001B2381" w:rsidRDefault="001B10D8" w:rsidP="001B10D8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1B2381">
        <w:rPr>
          <w:rFonts w:asciiTheme="majorHAnsi" w:hAnsiTheme="majorHAnsi" w:cstheme="majorHAnsi"/>
          <w:b/>
          <w:bCs/>
          <w:sz w:val="20"/>
          <w:szCs w:val="20"/>
        </w:rPr>
        <w:t>Monica Rico</w:t>
      </w:r>
    </w:p>
    <w:p w14:paraId="0F2A9DD8" w14:textId="70F62A87" w:rsidR="00C52592" w:rsidRDefault="00C52592" w:rsidP="001B10D8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C52592">
        <w:rPr>
          <w:rFonts w:asciiTheme="majorHAnsi" w:hAnsiTheme="majorHAnsi" w:cstheme="majorHAnsi"/>
          <w:b/>
          <w:bCs/>
          <w:sz w:val="20"/>
          <w:szCs w:val="20"/>
        </w:rPr>
        <w:t>+442076110427</w:t>
      </w:r>
    </w:p>
    <w:p w14:paraId="0F89FE6C" w14:textId="7E75FAFC" w:rsidR="001B10D8" w:rsidRPr="001B2381" w:rsidRDefault="001B10D8" w:rsidP="001B10D8">
      <w:pPr>
        <w:spacing w:after="0" w:line="240" w:lineRule="auto"/>
        <w:rPr>
          <w:rFonts w:asciiTheme="majorHAnsi" w:hAnsiTheme="majorHAnsi" w:cstheme="majorHAnsi"/>
          <w:sz w:val="20"/>
          <w:szCs w:val="20"/>
          <w:u w:val="single"/>
        </w:rPr>
      </w:pPr>
      <w:hyperlink r:id="rId6" w:history="1">
        <w:r w:rsidRPr="001B2381">
          <w:rPr>
            <w:rFonts w:asciiTheme="majorHAnsi" w:hAnsiTheme="majorHAnsi" w:cstheme="majorHAnsi"/>
            <w:b/>
            <w:bCs/>
            <w:sz w:val="20"/>
            <w:szCs w:val="20"/>
            <w:u w:val="single"/>
          </w:rPr>
          <w:t>monica.ricocastrillo@lumina-intelligence.co.uk</w:t>
        </w:r>
      </w:hyperlink>
    </w:p>
    <w:p w14:paraId="3BF232AD" w14:textId="77777777" w:rsidR="001B10D8" w:rsidRPr="001B2381" w:rsidRDefault="001B10D8" w:rsidP="001B10D8">
      <w:pPr>
        <w:spacing w:after="0" w:line="240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558EEE96" w14:textId="7E119A47" w:rsidR="001B10D8" w:rsidRPr="001B2381" w:rsidRDefault="006D70CB" w:rsidP="001B10D8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30</w:t>
      </w:r>
      <w:r w:rsidR="009035C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July</w:t>
      </w:r>
      <w:r w:rsidR="009035C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2026</w:t>
      </w:r>
    </w:p>
    <w:p w14:paraId="6763E53A" w14:textId="77777777" w:rsidR="001B10D8" w:rsidRPr="001B2381" w:rsidRDefault="001B10D8" w:rsidP="001B10D8">
      <w:pPr>
        <w:pStyle w:val="Default"/>
        <w:rPr>
          <w:color w:val="auto"/>
          <w:sz w:val="20"/>
          <w:szCs w:val="20"/>
        </w:rPr>
      </w:pPr>
    </w:p>
    <w:p w14:paraId="65DA6CA5" w14:textId="77777777" w:rsidR="00C52592" w:rsidRDefault="00C52592" w:rsidP="00C52592">
      <w:pPr>
        <w:rPr>
          <w:b/>
          <w:bCs/>
          <w:sz w:val="24"/>
          <w:szCs w:val="24"/>
        </w:rPr>
      </w:pPr>
    </w:p>
    <w:p w14:paraId="19A19F48" w14:textId="77777777" w:rsidR="006D70CB" w:rsidRDefault="006D70CB" w:rsidP="009035C6">
      <w:pPr>
        <w:rPr>
          <w:b/>
          <w:bCs/>
          <w:sz w:val="24"/>
          <w:szCs w:val="24"/>
        </w:rPr>
      </w:pPr>
      <w:r w:rsidRPr="006D70CB">
        <w:rPr>
          <w:b/>
          <w:bCs/>
          <w:sz w:val="24"/>
          <w:szCs w:val="24"/>
        </w:rPr>
        <w:t>Differentiation and Value Drive Growth as UK Foodservice Market Enters a More Selective Expansion Phase</w:t>
      </w:r>
    </w:p>
    <w:p w14:paraId="566C72E9" w14:textId="282A3AF2" w:rsidR="006D70CB" w:rsidRPr="006D70CB" w:rsidRDefault="006D70CB" w:rsidP="006D70CB">
      <w:pPr>
        <w:rPr>
          <w:sz w:val="20"/>
          <w:szCs w:val="20"/>
        </w:rPr>
      </w:pPr>
      <w:r w:rsidRPr="006D70CB">
        <w:rPr>
          <w:sz w:val="20"/>
          <w:szCs w:val="20"/>
        </w:rPr>
        <w:t xml:space="preserve">The latest </w:t>
      </w:r>
      <w:hyperlink r:id="rId7" w:history="1">
        <w:r w:rsidRPr="009035C6">
          <w:rPr>
            <w:rStyle w:val="Hyperlink"/>
            <w:sz w:val="20"/>
            <w:szCs w:val="20"/>
          </w:rPr>
          <w:t>Lumina Intelligence’s Operator Data Index</w:t>
        </w:r>
      </w:hyperlink>
      <w:r>
        <w:rPr>
          <w:b/>
          <w:bCs/>
          <w:sz w:val="20"/>
          <w:szCs w:val="20"/>
        </w:rPr>
        <w:t xml:space="preserve"> </w:t>
      </w:r>
      <w:r w:rsidRPr="006D70CB">
        <w:rPr>
          <w:sz w:val="20"/>
          <w:szCs w:val="20"/>
        </w:rPr>
        <w:t>reveals</w:t>
      </w:r>
      <w:r w:rsidRPr="006D70CB">
        <w:rPr>
          <w:sz w:val="20"/>
          <w:szCs w:val="20"/>
        </w:rPr>
        <w:t xml:space="preserve"> that growth in the UK foodservice market is becoming increasingly concentrated among brands with strong points of differentiation, despite continued economic pressures and cautious consumer spending. </w:t>
      </w:r>
    </w:p>
    <w:p w14:paraId="0D652B43" w14:textId="34F30AFF" w:rsidR="006D70CB" w:rsidRPr="006D70CB" w:rsidRDefault="006D70CB" w:rsidP="006D70CB">
      <w:pPr>
        <w:rPr>
          <w:sz w:val="20"/>
          <w:szCs w:val="20"/>
        </w:rPr>
      </w:pPr>
      <w:r w:rsidRPr="006D70CB">
        <w:rPr>
          <w:sz w:val="20"/>
          <w:szCs w:val="20"/>
        </w:rPr>
        <w:t xml:space="preserve">While the total UK eating out market is forecast to reach </w:t>
      </w:r>
      <w:r w:rsidRPr="006D70CB">
        <w:rPr>
          <w:b/>
          <w:bCs/>
          <w:sz w:val="20"/>
          <w:szCs w:val="20"/>
        </w:rPr>
        <w:t>£103.2bn in 2026</w:t>
      </w:r>
      <w:r w:rsidRPr="006D70CB">
        <w:rPr>
          <w:sz w:val="20"/>
          <w:szCs w:val="20"/>
        </w:rPr>
        <w:t xml:space="preserve">, growth is expected to remain modest at </w:t>
      </w:r>
      <w:r w:rsidRPr="006D70CB">
        <w:rPr>
          <w:b/>
          <w:bCs/>
          <w:sz w:val="20"/>
          <w:szCs w:val="20"/>
        </w:rPr>
        <w:t>+2.1%</w:t>
      </w:r>
      <w:r w:rsidRPr="006D70CB">
        <w:rPr>
          <w:sz w:val="20"/>
          <w:szCs w:val="20"/>
        </w:rPr>
        <w:t xml:space="preserve">, with consumer confidence still fragile and operators facing ongoing cost pressures. Against this backdrop, the strongest-performing brands are those offering clear consumer appeal through premium experiences, distinctive propositions, strong value credentials or highly scalable formats. </w:t>
      </w:r>
    </w:p>
    <w:p w14:paraId="7D396F78" w14:textId="12E6E005" w:rsidR="006D70CB" w:rsidRPr="006D70CB" w:rsidRDefault="006D70CB" w:rsidP="006D70CB">
      <w:pPr>
        <w:rPr>
          <w:sz w:val="20"/>
          <w:szCs w:val="20"/>
        </w:rPr>
      </w:pPr>
      <w:r w:rsidRPr="006D70CB">
        <w:rPr>
          <w:sz w:val="20"/>
          <w:szCs w:val="20"/>
        </w:rPr>
        <w:t xml:space="preserve">The trend is visible across all major foodservice channels. In restaurants, premium and differentiated operators are outperforming the wider market, with </w:t>
      </w:r>
      <w:proofErr w:type="spellStart"/>
      <w:r w:rsidRPr="006D70CB">
        <w:rPr>
          <w:b/>
          <w:bCs/>
          <w:sz w:val="20"/>
          <w:szCs w:val="20"/>
        </w:rPr>
        <w:t>Dishoom</w:t>
      </w:r>
      <w:proofErr w:type="spellEnd"/>
      <w:r w:rsidRPr="006D70CB">
        <w:rPr>
          <w:sz w:val="20"/>
          <w:szCs w:val="20"/>
        </w:rPr>
        <w:t xml:space="preserve"> forecast to grow turnover by </w:t>
      </w:r>
      <w:r w:rsidRPr="006D70CB">
        <w:rPr>
          <w:b/>
          <w:bCs/>
          <w:sz w:val="20"/>
          <w:szCs w:val="20"/>
        </w:rPr>
        <w:t>+11.8%</w:t>
      </w:r>
      <w:r w:rsidRPr="006D70CB">
        <w:rPr>
          <w:sz w:val="20"/>
          <w:szCs w:val="20"/>
        </w:rPr>
        <w:t xml:space="preserve"> and </w:t>
      </w:r>
      <w:r w:rsidRPr="006D70CB">
        <w:rPr>
          <w:b/>
          <w:bCs/>
          <w:sz w:val="20"/>
          <w:szCs w:val="20"/>
        </w:rPr>
        <w:t>Hickory's Smokehouse</w:t>
      </w:r>
      <w:r w:rsidRPr="006D70CB">
        <w:rPr>
          <w:sz w:val="20"/>
          <w:szCs w:val="20"/>
        </w:rPr>
        <w:t xml:space="preserve"> by </w:t>
      </w:r>
      <w:r w:rsidRPr="006D70CB">
        <w:rPr>
          <w:b/>
          <w:bCs/>
          <w:sz w:val="20"/>
          <w:szCs w:val="20"/>
        </w:rPr>
        <w:t>+24.2%</w:t>
      </w:r>
      <w:r w:rsidRPr="006D70CB">
        <w:rPr>
          <w:sz w:val="20"/>
          <w:szCs w:val="20"/>
        </w:rPr>
        <w:t xml:space="preserve"> in 2026. Meanwhile, the restaurant market overall is expected to grow turnover by just </w:t>
      </w:r>
      <w:r w:rsidRPr="006D70CB">
        <w:rPr>
          <w:b/>
          <w:bCs/>
          <w:sz w:val="20"/>
          <w:szCs w:val="20"/>
        </w:rPr>
        <w:t>+1.0%</w:t>
      </w:r>
      <w:r w:rsidRPr="006D70CB">
        <w:rPr>
          <w:sz w:val="20"/>
          <w:szCs w:val="20"/>
        </w:rPr>
        <w:t xml:space="preserve"> while outlet numbers decline.</w:t>
      </w:r>
      <w:r w:rsidRPr="006D70CB">
        <w:rPr>
          <w:sz w:val="20"/>
          <w:szCs w:val="20"/>
        </w:rPr>
        <w:t xml:space="preserve"> </w:t>
      </w:r>
    </w:p>
    <w:p w14:paraId="1F764F66" w14:textId="3E2CD6E4" w:rsidR="006D70CB" w:rsidRPr="006D70CB" w:rsidRDefault="006D70CB" w:rsidP="006D70CB">
      <w:pPr>
        <w:rPr>
          <w:sz w:val="20"/>
          <w:szCs w:val="20"/>
        </w:rPr>
      </w:pPr>
      <w:r w:rsidRPr="006D70CB">
        <w:rPr>
          <w:sz w:val="20"/>
          <w:szCs w:val="20"/>
        </w:rPr>
        <w:t xml:space="preserve">In QSR, challenger brands continue to gain momentum, with </w:t>
      </w:r>
      <w:r w:rsidRPr="006D70CB">
        <w:rPr>
          <w:b/>
          <w:bCs/>
          <w:sz w:val="20"/>
          <w:szCs w:val="20"/>
        </w:rPr>
        <w:t>Popeyes</w:t>
      </w:r>
      <w:r w:rsidRPr="006D70CB">
        <w:rPr>
          <w:sz w:val="20"/>
          <w:szCs w:val="20"/>
        </w:rPr>
        <w:t xml:space="preserve"> forecast to achieve turnover growth of </w:t>
      </w:r>
      <w:r w:rsidRPr="006D70CB">
        <w:rPr>
          <w:b/>
          <w:bCs/>
          <w:sz w:val="20"/>
          <w:szCs w:val="20"/>
        </w:rPr>
        <w:t>+51.5%</w:t>
      </w:r>
      <w:r w:rsidRPr="006D70CB">
        <w:rPr>
          <w:sz w:val="20"/>
          <w:szCs w:val="20"/>
        </w:rPr>
        <w:t xml:space="preserve"> and </w:t>
      </w:r>
      <w:r w:rsidRPr="006D70CB">
        <w:rPr>
          <w:b/>
          <w:bCs/>
          <w:sz w:val="20"/>
          <w:szCs w:val="20"/>
        </w:rPr>
        <w:t>Wingstop</w:t>
      </w:r>
      <w:r w:rsidRPr="006D70CB">
        <w:rPr>
          <w:sz w:val="20"/>
          <w:szCs w:val="20"/>
        </w:rPr>
        <w:t xml:space="preserve"> </w:t>
      </w:r>
      <w:r w:rsidRPr="006D70CB">
        <w:rPr>
          <w:b/>
          <w:bCs/>
          <w:sz w:val="20"/>
          <w:szCs w:val="20"/>
        </w:rPr>
        <w:t>+45.5%</w:t>
      </w:r>
      <w:r w:rsidRPr="006D70CB">
        <w:rPr>
          <w:sz w:val="20"/>
          <w:szCs w:val="20"/>
        </w:rPr>
        <w:t xml:space="preserve">, significantly outperforming the wider QSR market, which is forecast to grow by </w:t>
      </w:r>
      <w:r w:rsidRPr="006D70CB">
        <w:rPr>
          <w:b/>
          <w:bCs/>
          <w:sz w:val="20"/>
          <w:szCs w:val="20"/>
        </w:rPr>
        <w:t>+2.6%</w:t>
      </w:r>
      <w:r w:rsidRPr="006D70CB">
        <w:rPr>
          <w:sz w:val="20"/>
          <w:szCs w:val="20"/>
        </w:rPr>
        <w:t xml:space="preserve">. </w:t>
      </w:r>
    </w:p>
    <w:p w14:paraId="18D0B8D3" w14:textId="593CBE14" w:rsidR="006D70CB" w:rsidRPr="006D70CB" w:rsidRDefault="006D70CB" w:rsidP="006D70CB">
      <w:pPr>
        <w:rPr>
          <w:sz w:val="20"/>
          <w:szCs w:val="20"/>
        </w:rPr>
      </w:pPr>
      <w:r w:rsidRPr="006D70CB">
        <w:rPr>
          <w:sz w:val="20"/>
          <w:szCs w:val="20"/>
        </w:rPr>
        <w:t xml:space="preserve">The same pattern is emerging in pubs and bars, where experience-led operators are delivering some of the strongest performances. </w:t>
      </w:r>
      <w:r w:rsidRPr="006D70CB">
        <w:rPr>
          <w:b/>
          <w:bCs/>
          <w:sz w:val="20"/>
          <w:szCs w:val="20"/>
        </w:rPr>
        <w:t>The Lounges</w:t>
      </w:r>
      <w:r w:rsidRPr="006D70CB">
        <w:rPr>
          <w:sz w:val="20"/>
          <w:szCs w:val="20"/>
        </w:rPr>
        <w:t xml:space="preserve"> is forecast to grow turnover by </w:t>
      </w:r>
      <w:r w:rsidRPr="006D70CB">
        <w:rPr>
          <w:b/>
          <w:bCs/>
          <w:sz w:val="20"/>
          <w:szCs w:val="20"/>
        </w:rPr>
        <w:t>+15.4%</w:t>
      </w:r>
      <w:r w:rsidRPr="006D70CB">
        <w:rPr>
          <w:sz w:val="20"/>
          <w:szCs w:val="20"/>
        </w:rPr>
        <w:t>, while premium and experiential concepts such as Little Door &amp; Co and Flight Club continue to expand</w:t>
      </w:r>
    </w:p>
    <w:p w14:paraId="1A4F360B" w14:textId="0A54DBBD" w:rsidR="006D70CB" w:rsidRPr="006D70CB" w:rsidRDefault="006D70CB" w:rsidP="006D70CB">
      <w:pPr>
        <w:rPr>
          <w:sz w:val="20"/>
          <w:szCs w:val="20"/>
        </w:rPr>
      </w:pPr>
      <w:r w:rsidRPr="006D70CB">
        <w:rPr>
          <w:sz w:val="20"/>
          <w:szCs w:val="20"/>
        </w:rPr>
        <w:t xml:space="preserve">In coffee and food-to-go, premium operators are also pulling ahead. </w:t>
      </w:r>
      <w:r w:rsidRPr="006D70CB">
        <w:rPr>
          <w:b/>
          <w:bCs/>
          <w:sz w:val="20"/>
          <w:szCs w:val="20"/>
        </w:rPr>
        <w:t>Gail's Artisan Bakery</w:t>
      </w:r>
      <w:r w:rsidRPr="006D70CB">
        <w:rPr>
          <w:sz w:val="20"/>
          <w:szCs w:val="20"/>
        </w:rPr>
        <w:t xml:space="preserve"> is forecast to increase turnover by </w:t>
      </w:r>
      <w:r w:rsidRPr="006D70CB">
        <w:rPr>
          <w:b/>
          <w:bCs/>
          <w:sz w:val="20"/>
          <w:szCs w:val="20"/>
        </w:rPr>
        <w:t>+22.1%</w:t>
      </w:r>
      <w:r w:rsidRPr="006D70CB">
        <w:rPr>
          <w:sz w:val="20"/>
          <w:szCs w:val="20"/>
        </w:rPr>
        <w:t xml:space="preserve">, while </w:t>
      </w:r>
      <w:r w:rsidRPr="006D70CB">
        <w:rPr>
          <w:b/>
          <w:bCs/>
          <w:sz w:val="20"/>
          <w:szCs w:val="20"/>
        </w:rPr>
        <w:t>Joe &amp; The Juice</w:t>
      </w:r>
      <w:r w:rsidRPr="006D70CB">
        <w:rPr>
          <w:sz w:val="20"/>
          <w:szCs w:val="20"/>
        </w:rPr>
        <w:t xml:space="preserve"> is expected to grow by </w:t>
      </w:r>
      <w:r w:rsidRPr="006D70CB">
        <w:rPr>
          <w:b/>
          <w:bCs/>
          <w:sz w:val="20"/>
          <w:szCs w:val="20"/>
        </w:rPr>
        <w:t>+20.3%</w:t>
      </w:r>
      <w:r w:rsidRPr="006D70CB">
        <w:rPr>
          <w:sz w:val="20"/>
          <w:szCs w:val="20"/>
        </w:rPr>
        <w:t xml:space="preserve">, highlighting continued consumer demand for quality-led propositions despite wider spending pressures. </w:t>
      </w:r>
    </w:p>
    <w:p w14:paraId="6BD91118" w14:textId="7599DD35" w:rsidR="006D70CB" w:rsidRPr="006D70CB" w:rsidRDefault="006D70CB" w:rsidP="006D70CB">
      <w:pPr>
        <w:rPr>
          <w:sz w:val="20"/>
          <w:szCs w:val="20"/>
        </w:rPr>
      </w:pPr>
      <w:r w:rsidRPr="006D70CB">
        <w:rPr>
          <w:sz w:val="20"/>
          <w:szCs w:val="20"/>
        </w:rPr>
        <w:t>"The latest Operator Data Index shows that consumers are becoming increasingly selective about where they spend their money," said Lumina Intelligence</w:t>
      </w:r>
      <w:r>
        <w:rPr>
          <w:sz w:val="20"/>
          <w:szCs w:val="20"/>
        </w:rPr>
        <w:t>’s Insight Manager Adrian Kowalski</w:t>
      </w:r>
      <w:r w:rsidRPr="006D70CB">
        <w:rPr>
          <w:sz w:val="20"/>
          <w:szCs w:val="20"/>
        </w:rPr>
        <w:t xml:space="preserve">. "Brands that offer a clear reason to visit, whether through quality, experience, flavour innovation or value, are continuing to outperform a market that remains challenging overall." </w:t>
      </w:r>
    </w:p>
    <w:p w14:paraId="4DDA24FD" w14:textId="77777777" w:rsidR="00DB3319" w:rsidRDefault="00DB3319" w:rsidP="00462EF0">
      <w:pPr>
        <w:rPr>
          <w:sz w:val="20"/>
          <w:szCs w:val="20"/>
        </w:rPr>
      </w:pPr>
    </w:p>
    <w:p w14:paraId="0525D748" w14:textId="3D85B76A" w:rsidR="001B10D8" w:rsidRPr="001B2381" w:rsidRDefault="001B10D8" w:rsidP="00462EF0">
      <w:pPr>
        <w:rPr>
          <w:b/>
          <w:bCs/>
          <w:sz w:val="20"/>
          <w:szCs w:val="20"/>
        </w:rPr>
      </w:pPr>
      <w:r w:rsidRPr="001B2381">
        <w:rPr>
          <w:b/>
          <w:bCs/>
          <w:sz w:val="20"/>
          <w:szCs w:val="20"/>
        </w:rPr>
        <w:t>ENDS</w:t>
      </w:r>
    </w:p>
    <w:p w14:paraId="007EFB29" w14:textId="227605E0" w:rsidR="001B10D8" w:rsidRPr="001B2381" w:rsidRDefault="001B10D8" w:rsidP="00462EF0">
      <w:pPr>
        <w:rPr>
          <w:b/>
          <w:bCs/>
          <w:sz w:val="20"/>
          <w:szCs w:val="20"/>
        </w:rPr>
      </w:pPr>
    </w:p>
    <w:p w14:paraId="0885A873" w14:textId="418BAAAC" w:rsidR="00241BE9" w:rsidRPr="00C66000" w:rsidRDefault="001B10D8" w:rsidP="001B10D8">
      <w:pPr>
        <w:rPr>
          <w:sz w:val="20"/>
          <w:szCs w:val="20"/>
        </w:rPr>
      </w:pPr>
      <w:r w:rsidRPr="001B2381">
        <w:rPr>
          <w:sz w:val="20"/>
          <w:szCs w:val="20"/>
        </w:rPr>
        <w:t>--</w:t>
      </w:r>
    </w:p>
    <w:p w14:paraId="1A586215" w14:textId="77777777" w:rsidR="00241BE9" w:rsidRDefault="00241BE9" w:rsidP="001B10D8">
      <w:pPr>
        <w:rPr>
          <w:b/>
          <w:bCs/>
          <w:sz w:val="20"/>
          <w:szCs w:val="20"/>
        </w:rPr>
      </w:pPr>
    </w:p>
    <w:p w14:paraId="089A780D" w14:textId="0A9BE978" w:rsidR="001B10D8" w:rsidRPr="001B2381" w:rsidRDefault="001B10D8" w:rsidP="001B10D8">
      <w:pPr>
        <w:rPr>
          <w:b/>
          <w:bCs/>
          <w:sz w:val="20"/>
          <w:szCs w:val="20"/>
        </w:rPr>
      </w:pPr>
      <w:r w:rsidRPr="001B2381">
        <w:rPr>
          <w:b/>
          <w:bCs/>
          <w:sz w:val="20"/>
          <w:szCs w:val="20"/>
        </w:rPr>
        <w:t xml:space="preserve">The Operator Data Index: </w:t>
      </w:r>
    </w:p>
    <w:p w14:paraId="666B2BF4" w14:textId="3A1EB96A" w:rsidR="001B10D8" w:rsidRPr="001B2381" w:rsidRDefault="001B10D8" w:rsidP="001B10D8">
      <w:pPr>
        <w:rPr>
          <w:sz w:val="20"/>
          <w:szCs w:val="20"/>
        </w:rPr>
      </w:pPr>
      <w:r w:rsidRPr="001B2381">
        <w:rPr>
          <w:sz w:val="20"/>
          <w:szCs w:val="20"/>
        </w:rPr>
        <w:t xml:space="preserve">Lumina Intelligence’s </w:t>
      </w:r>
      <w:hyperlink r:id="rId8" w:history="1">
        <w:r w:rsidRPr="00080EF1">
          <w:rPr>
            <w:rStyle w:val="Hyperlink"/>
            <w:b/>
            <w:bCs/>
            <w:sz w:val="20"/>
            <w:szCs w:val="20"/>
          </w:rPr>
          <w:t>Operator Data Index</w:t>
        </w:r>
      </w:hyperlink>
      <w:r w:rsidRPr="001B2381">
        <w:rPr>
          <w:b/>
          <w:bCs/>
          <w:sz w:val="20"/>
          <w:szCs w:val="20"/>
        </w:rPr>
        <w:t xml:space="preserve"> </w:t>
      </w:r>
      <w:r w:rsidRPr="001B2381">
        <w:rPr>
          <w:sz w:val="20"/>
          <w:szCs w:val="20"/>
        </w:rPr>
        <w:t>provides</w:t>
      </w:r>
      <w:r w:rsidRPr="001B2381">
        <w:rPr>
          <w:b/>
          <w:bCs/>
          <w:sz w:val="20"/>
          <w:szCs w:val="20"/>
        </w:rPr>
        <w:t xml:space="preserve"> </w:t>
      </w:r>
      <w:r w:rsidRPr="001B2381">
        <w:rPr>
          <w:sz w:val="20"/>
          <w:szCs w:val="20"/>
        </w:rPr>
        <w:t>c</w:t>
      </w:r>
      <w:r w:rsidRPr="001B10D8">
        <w:rPr>
          <w:sz w:val="20"/>
          <w:szCs w:val="20"/>
        </w:rPr>
        <w:t>ontinuous turnover and outlet data on </w:t>
      </w:r>
      <w:r w:rsidRPr="001B10D8">
        <w:rPr>
          <w:b/>
          <w:bCs/>
          <w:sz w:val="20"/>
          <w:szCs w:val="20"/>
        </w:rPr>
        <w:t>400+ UK pub, restaurant, QSR, sandwich and coffee shop operators</w:t>
      </w:r>
      <w:r w:rsidRPr="001B2381">
        <w:rPr>
          <w:sz w:val="20"/>
          <w:szCs w:val="20"/>
        </w:rPr>
        <w:t>, a</w:t>
      </w:r>
      <w:r w:rsidRPr="001B10D8">
        <w:rPr>
          <w:sz w:val="20"/>
          <w:szCs w:val="20"/>
        </w:rPr>
        <w:t>nalys</w:t>
      </w:r>
      <w:r w:rsidRPr="001B2381">
        <w:rPr>
          <w:sz w:val="20"/>
          <w:szCs w:val="20"/>
        </w:rPr>
        <w:t>ing</w:t>
      </w:r>
      <w:r w:rsidRPr="001B10D8">
        <w:rPr>
          <w:sz w:val="20"/>
          <w:szCs w:val="20"/>
        </w:rPr>
        <w:t xml:space="preserve"> the leading and fastest growing brands through an interactive dashboard, </w:t>
      </w:r>
      <w:r w:rsidRPr="001B2381">
        <w:rPr>
          <w:sz w:val="20"/>
          <w:szCs w:val="20"/>
        </w:rPr>
        <w:t>bringing subscribers</w:t>
      </w:r>
      <w:r w:rsidRPr="001B10D8">
        <w:rPr>
          <w:sz w:val="20"/>
          <w:szCs w:val="20"/>
        </w:rPr>
        <w:t xml:space="preserve"> quarterly market intelligence reports.</w:t>
      </w:r>
    </w:p>
    <w:p w14:paraId="02EE531D" w14:textId="0BF730FE" w:rsidR="001B10D8" w:rsidRPr="001B2381" w:rsidRDefault="001B10D8" w:rsidP="001B10D8">
      <w:pPr>
        <w:rPr>
          <w:sz w:val="20"/>
          <w:szCs w:val="20"/>
        </w:rPr>
      </w:pPr>
    </w:p>
    <w:p w14:paraId="485A5CFD" w14:textId="77777777" w:rsidR="001B2381" w:rsidRPr="001B2381" w:rsidRDefault="001B2381" w:rsidP="001B2381">
      <w:pPr>
        <w:rPr>
          <w:rFonts w:ascii="Arial" w:hAnsi="Arial" w:cs="Arial"/>
          <w:b/>
          <w:bCs/>
          <w:sz w:val="20"/>
          <w:szCs w:val="20"/>
        </w:rPr>
      </w:pPr>
      <w:r w:rsidRPr="001B2381">
        <w:rPr>
          <w:rFonts w:ascii="Arial" w:hAnsi="Arial" w:cs="Arial"/>
          <w:b/>
          <w:bCs/>
          <w:sz w:val="20"/>
          <w:szCs w:val="20"/>
        </w:rPr>
        <w:t>Report methodology</w:t>
      </w:r>
    </w:p>
    <w:p w14:paraId="4DAE2961" w14:textId="1F8F6C68" w:rsidR="001B2381" w:rsidRPr="001B2381" w:rsidRDefault="001B2381" w:rsidP="001B2381">
      <w:pPr>
        <w:rPr>
          <w:rFonts w:ascii="Arial" w:hAnsi="Arial" w:cs="Arial"/>
          <w:sz w:val="20"/>
          <w:szCs w:val="20"/>
        </w:rPr>
      </w:pPr>
      <w:r w:rsidRPr="001B2381">
        <w:rPr>
          <w:rFonts w:ascii="Arial" w:hAnsi="Arial" w:cs="Arial"/>
          <w:sz w:val="20"/>
          <w:szCs w:val="20"/>
        </w:rPr>
        <w:t xml:space="preserve">The </w:t>
      </w:r>
      <w:hyperlink r:id="rId9" w:history="1">
        <w:r w:rsidRPr="00C66000">
          <w:rPr>
            <w:rStyle w:val="Hyperlink"/>
            <w:rFonts w:ascii="Arial" w:hAnsi="Arial" w:cs="Arial"/>
            <w:sz w:val="20"/>
            <w:szCs w:val="20"/>
          </w:rPr>
          <w:t>Lumina Intelligence Operator Data Index</w:t>
        </w:r>
      </w:hyperlink>
      <w:r w:rsidRPr="001B2381">
        <w:rPr>
          <w:rFonts w:ascii="Arial" w:hAnsi="Arial" w:cs="Arial"/>
          <w:sz w:val="20"/>
          <w:szCs w:val="20"/>
        </w:rPr>
        <w:t xml:space="preserve"> is a tool that tracks the performance of hospitality operators, providing market rankings based on turnover and outlet numbers, segmented by sub-channels. </w:t>
      </w:r>
    </w:p>
    <w:p w14:paraId="2D76556A" w14:textId="77777777" w:rsidR="001B2381" w:rsidRPr="001B2381" w:rsidRDefault="001B2381" w:rsidP="001B2381">
      <w:pPr>
        <w:rPr>
          <w:rFonts w:ascii="Arial" w:hAnsi="Arial" w:cs="Arial"/>
          <w:sz w:val="20"/>
          <w:szCs w:val="20"/>
        </w:rPr>
      </w:pPr>
      <w:r w:rsidRPr="001B2381">
        <w:rPr>
          <w:rFonts w:ascii="Arial" w:hAnsi="Arial" w:cs="Arial"/>
          <w:sz w:val="20"/>
          <w:szCs w:val="20"/>
        </w:rPr>
        <w:t>Our Operator Data Index includes:</w:t>
      </w:r>
    </w:p>
    <w:p w14:paraId="2FB7A1EB" w14:textId="77777777" w:rsidR="001B2381" w:rsidRPr="001B2381" w:rsidRDefault="001B2381" w:rsidP="001B238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B2381">
        <w:rPr>
          <w:rFonts w:ascii="Arial" w:hAnsi="Arial" w:cs="Arial"/>
          <w:sz w:val="20"/>
          <w:szCs w:val="20"/>
        </w:rPr>
        <w:t>Comprehensive data on leading UK hospitality operators</w:t>
      </w:r>
    </w:p>
    <w:p w14:paraId="32CB891E" w14:textId="77777777" w:rsidR="001B2381" w:rsidRPr="001B2381" w:rsidRDefault="001B2381" w:rsidP="001B238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B2381">
        <w:rPr>
          <w:rFonts w:ascii="Arial" w:hAnsi="Arial" w:cs="Arial"/>
          <w:sz w:val="20"/>
          <w:szCs w:val="20"/>
        </w:rPr>
        <w:t>Access market rankings, sales and outlet counts and monthly analysis presentations.</w:t>
      </w:r>
    </w:p>
    <w:p w14:paraId="45580815" w14:textId="77777777" w:rsidR="001B2381" w:rsidRPr="001B2381" w:rsidRDefault="001B2381" w:rsidP="001B2381">
      <w:pPr>
        <w:rPr>
          <w:rFonts w:ascii="Arial" w:hAnsi="Arial" w:cs="Arial"/>
          <w:b/>
          <w:bCs/>
          <w:sz w:val="20"/>
          <w:szCs w:val="20"/>
        </w:rPr>
      </w:pPr>
    </w:p>
    <w:p w14:paraId="368BE594" w14:textId="77777777" w:rsidR="009035C6" w:rsidRPr="00885680" w:rsidRDefault="009035C6" w:rsidP="009035C6">
      <w:pPr>
        <w:rPr>
          <w:rFonts w:cstheme="minorHAnsi"/>
          <w:b/>
          <w:bCs/>
        </w:rPr>
      </w:pPr>
      <w:r w:rsidRPr="00885680">
        <w:rPr>
          <w:rFonts w:cstheme="minorHAnsi"/>
          <w:b/>
          <w:bCs/>
        </w:rPr>
        <w:t>Who We Are:</w:t>
      </w:r>
    </w:p>
    <w:p w14:paraId="2FF33B27" w14:textId="77777777" w:rsidR="009035C6" w:rsidRPr="00885680" w:rsidRDefault="009035C6" w:rsidP="009035C6">
      <w:pPr>
        <w:rPr>
          <w:rFonts w:cstheme="minorHAnsi"/>
        </w:rPr>
      </w:pPr>
      <w:hyperlink r:id="rId10" w:history="1">
        <w:r w:rsidRPr="00885680">
          <w:rPr>
            <w:rStyle w:val="Hyperlink"/>
            <w:rFonts w:cstheme="minorHAnsi"/>
          </w:rPr>
          <w:t>Lumina Intelligence</w:t>
        </w:r>
      </w:hyperlink>
      <w:r w:rsidRPr="00885680">
        <w:rPr>
          <w:rFonts w:cstheme="minorHAnsi"/>
        </w:rPr>
        <w:t xml:space="preserve"> helps food and drink brands understand their consumers and markets - so they can grow faster, plan smarter, and make better commercial decisions.</w:t>
      </w:r>
    </w:p>
    <w:p w14:paraId="21311F96" w14:textId="77777777" w:rsidR="009035C6" w:rsidRPr="00885680" w:rsidRDefault="009035C6" w:rsidP="009035C6">
      <w:pPr>
        <w:rPr>
          <w:rFonts w:cstheme="minorHAnsi"/>
        </w:rPr>
      </w:pPr>
      <w:r w:rsidRPr="00885680">
        <w:rPr>
          <w:rFonts w:cstheme="minorHAnsi"/>
        </w:rPr>
        <w:t>We specialise in insight for grocery retail and hospitality, combining trusted data with expert analysis to support your commercial, category, and insight teams.</w:t>
      </w:r>
    </w:p>
    <w:p w14:paraId="74957DDA" w14:textId="77777777" w:rsidR="009035C6" w:rsidRPr="00885680" w:rsidRDefault="009035C6" w:rsidP="009035C6">
      <w:pPr>
        <w:rPr>
          <w:rFonts w:cstheme="minorHAnsi"/>
        </w:rPr>
      </w:pPr>
      <w:hyperlink r:id="rId11" w:history="1">
        <w:r w:rsidRPr="00885680">
          <w:rPr>
            <w:rStyle w:val="Hyperlink"/>
            <w:rFonts w:cstheme="minorHAnsi"/>
          </w:rPr>
          <w:t>https://www.lumina-intelligence.com/</w:t>
        </w:r>
      </w:hyperlink>
      <w:r w:rsidRPr="00885680">
        <w:rPr>
          <w:rFonts w:cstheme="minorHAnsi"/>
        </w:rPr>
        <w:t xml:space="preserve"> </w:t>
      </w:r>
    </w:p>
    <w:p w14:paraId="1B592D21" w14:textId="77777777" w:rsidR="001B10D8" w:rsidRPr="001B2381" w:rsidRDefault="001B10D8" w:rsidP="001B10D8">
      <w:pPr>
        <w:rPr>
          <w:sz w:val="20"/>
          <w:szCs w:val="20"/>
        </w:rPr>
      </w:pPr>
    </w:p>
    <w:p w14:paraId="4C2DE03B" w14:textId="17001446" w:rsidR="001B10D8" w:rsidRPr="001B2381" w:rsidRDefault="001B10D8" w:rsidP="001B10D8">
      <w:pPr>
        <w:rPr>
          <w:sz w:val="20"/>
          <w:szCs w:val="20"/>
        </w:rPr>
      </w:pPr>
    </w:p>
    <w:p w14:paraId="791676ED" w14:textId="77777777" w:rsidR="001B10D8" w:rsidRPr="001B2381" w:rsidRDefault="001B10D8" w:rsidP="001B10D8">
      <w:pPr>
        <w:rPr>
          <w:sz w:val="20"/>
          <w:szCs w:val="20"/>
        </w:rPr>
      </w:pPr>
    </w:p>
    <w:p w14:paraId="1ACFF48D" w14:textId="2F290E8F" w:rsidR="001B10D8" w:rsidRPr="001B2381" w:rsidRDefault="001B10D8" w:rsidP="001B10D8">
      <w:pPr>
        <w:rPr>
          <w:sz w:val="20"/>
          <w:szCs w:val="20"/>
        </w:rPr>
      </w:pPr>
    </w:p>
    <w:p w14:paraId="762DC335" w14:textId="54A6C53C" w:rsidR="001B10D8" w:rsidRPr="001B2381" w:rsidRDefault="001B10D8" w:rsidP="001B10D8">
      <w:pPr>
        <w:rPr>
          <w:sz w:val="20"/>
          <w:szCs w:val="20"/>
        </w:rPr>
      </w:pPr>
    </w:p>
    <w:p w14:paraId="1CE967BD" w14:textId="77777777" w:rsidR="001B10D8" w:rsidRPr="001B10D8" w:rsidRDefault="001B10D8" w:rsidP="001B10D8">
      <w:pPr>
        <w:rPr>
          <w:b/>
          <w:bCs/>
          <w:sz w:val="20"/>
          <w:szCs w:val="20"/>
        </w:rPr>
      </w:pPr>
    </w:p>
    <w:p w14:paraId="09F8773A" w14:textId="388218C4" w:rsidR="001B10D8" w:rsidRPr="001B2381" w:rsidRDefault="001B10D8" w:rsidP="001B10D8">
      <w:pPr>
        <w:rPr>
          <w:sz w:val="20"/>
          <w:szCs w:val="20"/>
        </w:rPr>
      </w:pPr>
    </w:p>
    <w:p w14:paraId="7799E6F9" w14:textId="77777777" w:rsidR="001B10D8" w:rsidRPr="001B2381" w:rsidRDefault="001B10D8" w:rsidP="001B10D8">
      <w:pPr>
        <w:rPr>
          <w:sz w:val="20"/>
          <w:szCs w:val="20"/>
        </w:rPr>
      </w:pPr>
    </w:p>
    <w:p w14:paraId="3AFE2DA3" w14:textId="602CAAF7" w:rsidR="00D020E8" w:rsidRPr="00D020E8" w:rsidRDefault="00D020E8" w:rsidP="00D020E8">
      <w:pPr>
        <w:rPr>
          <w:sz w:val="20"/>
          <w:szCs w:val="20"/>
        </w:rPr>
      </w:pPr>
    </w:p>
    <w:p w14:paraId="6B2466F9" w14:textId="19910ED2" w:rsidR="00D020E8" w:rsidRPr="00D020E8" w:rsidRDefault="00D020E8" w:rsidP="00D020E8">
      <w:pPr>
        <w:rPr>
          <w:sz w:val="20"/>
          <w:szCs w:val="20"/>
        </w:rPr>
      </w:pPr>
    </w:p>
    <w:p w14:paraId="11B8EAEC" w14:textId="6E8F4DF3" w:rsidR="00D020E8" w:rsidRPr="001B2381" w:rsidRDefault="00D020E8" w:rsidP="00D020E8">
      <w:pPr>
        <w:rPr>
          <w:sz w:val="20"/>
          <w:szCs w:val="20"/>
        </w:rPr>
      </w:pPr>
    </w:p>
    <w:p w14:paraId="08169302" w14:textId="2171DB6B" w:rsidR="00D020E8" w:rsidRPr="001B2381" w:rsidRDefault="00D020E8" w:rsidP="00D020E8">
      <w:pPr>
        <w:rPr>
          <w:sz w:val="20"/>
          <w:szCs w:val="20"/>
        </w:rPr>
      </w:pPr>
    </w:p>
    <w:p w14:paraId="27FB4C19" w14:textId="77777777" w:rsidR="00D020E8" w:rsidRPr="001B2381" w:rsidRDefault="00D020E8" w:rsidP="00D020E8">
      <w:pPr>
        <w:rPr>
          <w:sz w:val="20"/>
          <w:szCs w:val="20"/>
        </w:rPr>
      </w:pPr>
    </w:p>
    <w:p w14:paraId="0E19870C" w14:textId="77777777" w:rsidR="00D020E8" w:rsidRPr="00D020E8" w:rsidRDefault="00D020E8" w:rsidP="00D020E8">
      <w:pPr>
        <w:rPr>
          <w:sz w:val="20"/>
          <w:szCs w:val="20"/>
        </w:rPr>
      </w:pPr>
    </w:p>
    <w:p w14:paraId="5AB2AB77" w14:textId="465A5703" w:rsidR="00D020E8" w:rsidRPr="001B2381" w:rsidRDefault="00D020E8" w:rsidP="00D020E8">
      <w:pPr>
        <w:rPr>
          <w:sz w:val="20"/>
          <w:szCs w:val="20"/>
        </w:rPr>
      </w:pPr>
    </w:p>
    <w:p w14:paraId="1850EED0" w14:textId="77777777" w:rsidR="00D020E8" w:rsidRPr="00D020E8" w:rsidRDefault="00D020E8" w:rsidP="00D020E8">
      <w:pPr>
        <w:rPr>
          <w:sz w:val="20"/>
          <w:szCs w:val="20"/>
        </w:rPr>
      </w:pPr>
    </w:p>
    <w:p w14:paraId="7AE44BAB" w14:textId="1368D364" w:rsidR="00D020E8" w:rsidRPr="001B2381" w:rsidRDefault="00D020E8">
      <w:pPr>
        <w:rPr>
          <w:sz w:val="20"/>
          <w:szCs w:val="20"/>
        </w:rPr>
      </w:pPr>
    </w:p>
    <w:sectPr w:rsidR="00D020E8" w:rsidRPr="001B2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863"/>
    <w:multiLevelType w:val="hybridMultilevel"/>
    <w:tmpl w:val="7450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4AD5"/>
    <w:multiLevelType w:val="hybridMultilevel"/>
    <w:tmpl w:val="C0946170"/>
    <w:lvl w:ilvl="0" w:tplc="3F32E042">
      <w:start w:val="37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D6498"/>
    <w:multiLevelType w:val="hybridMultilevel"/>
    <w:tmpl w:val="36B405AC"/>
    <w:lvl w:ilvl="0" w:tplc="FCDABEA4">
      <w:start w:val="3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71744">
    <w:abstractNumId w:val="1"/>
  </w:num>
  <w:num w:numId="2" w16cid:durableId="237133662">
    <w:abstractNumId w:val="2"/>
  </w:num>
  <w:num w:numId="3" w16cid:durableId="155353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E8"/>
    <w:rsid w:val="00036820"/>
    <w:rsid w:val="00057592"/>
    <w:rsid w:val="00080EF1"/>
    <w:rsid w:val="000E1605"/>
    <w:rsid w:val="00112EFF"/>
    <w:rsid w:val="001A22BE"/>
    <w:rsid w:val="001B10D8"/>
    <w:rsid w:val="001B2381"/>
    <w:rsid w:val="00241BE9"/>
    <w:rsid w:val="0036717B"/>
    <w:rsid w:val="00462EF0"/>
    <w:rsid w:val="004A6882"/>
    <w:rsid w:val="004F2E8B"/>
    <w:rsid w:val="005C7A86"/>
    <w:rsid w:val="00686181"/>
    <w:rsid w:val="006A34C3"/>
    <w:rsid w:val="006D70CB"/>
    <w:rsid w:val="00750CCB"/>
    <w:rsid w:val="007627C4"/>
    <w:rsid w:val="0083438D"/>
    <w:rsid w:val="00884BCF"/>
    <w:rsid w:val="008A36E5"/>
    <w:rsid w:val="008E3157"/>
    <w:rsid w:val="009035C6"/>
    <w:rsid w:val="009D71F2"/>
    <w:rsid w:val="009E1B32"/>
    <w:rsid w:val="00AD73F8"/>
    <w:rsid w:val="00B42B16"/>
    <w:rsid w:val="00BA2F38"/>
    <w:rsid w:val="00BA4E2C"/>
    <w:rsid w:val="00BD3727"/>
    <w:rsid w:val="00C52592"/>
    <w:rsid w:val="00C66000"/>
    <w:rsid w:val="00CB5B7B"/>
    <w:rsid w:val="00D020E8"/>
    <w:rsid w:val="00D038CF"/>
    <w:rsid w:val="00D0564E"/>
    <w:rsid w:val="00D72866"/>
    <w:rsid w:val="00DB3319"/>
    <w:rsid w:val="00DE2E6A"/>
    <w:rsid w:val="00E465FF"/>
    <w:rsid w:val="00EE0319"/>
    <w:rsid w:val="00F40E58"/>
    <w:rsid w:val="00F47067"/>
    <w:rsid w:val="00F8406B"/>
    <w:rsid w:val="00F8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F7C88"/>
  <w15:chartTrackingRefBased/>
  <w15:docId w15:val="{07C68B22-C442-4D9D-93BF-C2A2CEF7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10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1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10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0D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12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E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E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5695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8751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865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3195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mina-intelligence.com/product/operator-data-index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umina-intelligence.com/product/operator-data-inde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ica.ricocastrillo@lumina-intelligence.co.uk" TargetMode="External"/><Relationship Id="rId11" Type="http://schemas.openxmlformats.org/officeDocument/2006/relationships/hyperlink" Target="https://www.lumina-intelligence.com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umina-intelligenc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mina-intelligence.com/product/operator-data-ind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3431</Characters>
  <Application>Microsoft Office Word</Application>
  <DocSecurity>0</DocSecurity>
  <Lines>87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Reed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Rico Castrillo</dc:creator>
  <cp:keywords/>
  <dc:description/>
  <cp:lastModifiedBy>Monica Rico Castrillo</cp:lastModifiedBy>
  <cp:revision>2</cp:revision>
  <dcterms:created xsi:type="dcterms:W3CDTF">2026-07-30T08:37:00Z</dcterms:created>
  <dcterms:modified xsi:type="dcterms:W3CDTF">2026-07-30T08:37:00Z</dcterms:modified>
</cp:coreProperties>
</file>