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E603E" w14:textId="77777777" w:rsidR="007C0A7A" w:rsidRDefault="00836641">
      <w:pPr>
        <w:spacing w:line="276" w:lineRule="auto"/>
        <w:rPr>
          <w:b/>
          <w:bCs/>
          <w:color w:val="50505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63E6DFB" wp14:editId="46209425">
            <wp:simplePos x="0" y="0"/>
            <wp:positionH relativeFrom="column">
              <wp:posOffset>4328795</wp:posOffset>
            </wp:positionH>
            <wp:positionV relativeFrom="paragraph">
              <wp:posOffset>106680</wp:posOffset>
            </wp:positionV>
            <wp:extent cx="1539240" cy="836295"/>
            <wp:effectExtent l="0" t="0" r="3810" b="1905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836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DEFB85" w14:textId="77777777" w:rsidR="007C0A7A" w:rsidRDefault="00836641">
      <w:pPr>
        <w:spacing w:line="276" w:lineRule="auto"/>
        <w:rPr>
          <w:b/>
          <w:bCs/>
        </w:rPr>
      </w:pPr>
      <w:r>
        <w:rPr>
          <w:b/>
          <w:bCs/>
        </w:rPr>
        <w:t>FOR IMMEDIATE RELEASE</w:t>
      </w:r>
    </w:p>
    <w:p w14:paraId="166404B8" w14:textId="77777777" w:rsidR="007C0A7A" w:rsidRDefault="007C0A7A">
      <w:pPr>
        <w:spacing w:line="276" w:lineRule="auto"/>
      </w:pPr>
    </w:p>
    <w:p w14:paraId="1615D3CC" w14:textId="77777777" w:rsidR="007C0A7A" w:rsidRDefault="007C0A7A">
      <w:pPr>
        <w:spacing w:line="276" w:lineRule="auto"/>
      </w:pPr>
    </w:p>
    <w:p w14:paraId="71891876" w14:textId="77777777" w:rsidR="00E64C08" w:rsidRDefault="00E64C08">
      <w:pPr>
        <w:spacing w:line="276" w:lineRule="auto"/>
      </w:pPr>
    </w:p>
    <w:p w14:paraId="5E6B017D" w14:textId="77777777" w:rsidR="007C0A7A" w:rsidRDefault="00836641">
      <w:pPr>
        <w:spacing w:line="276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China's food industry shifts to climate resilience as a growth opportunity, outpacing the West</w:t>
      </w:r>
    </w:p>
    <w:p w14:paraId="4A250415" w14:textId="77777777" w:rsidR="007C0A7A" w:rsidRDefault="007C0A7A">
      <w:pPr>
        <w:spacing w:line="276" w:lineRule="auto"/>
        <w:jc w:val="center"/>
        <w:rPr>
          <w:b/>
          <w:bCs/>
        </w:rPr>
      </w:pPr>
    </w:p>
    <w:p w14:paraId="091A7425" w14:textId="77777777" w:rsidR="007C0A7A" w:rsidRDefault="00836641">
      <w:pPr>
        <w:spacing w:line="276" w:lineRule="auto"/>
        <w:jc w:val="center"/>
        <w:rPr>
          <w:i/>
          <w:iCs/>
        </w:rPr>
      </w:pPr>
      <w:r>
        <w:rPr>
          <w:i/>
          <w:iCs/>
        </w:rPr>
        <w:t>Research from Lumina Intelligence reveals a strategic divide as Chinese firms lead on investment, risk management and commercial integration, while Western counterparts continue to face short-term financial barriers to climate action.</w:t>
      </w:r>
    </w:p>
    <w:p w14:paraId="56E6731A" w14:textId="77777777" w:rsidR="007C0A7A" w:rsidRDefault="007C0A7A">
      <w:pPr>
        <w:spacing w:line="276" w:lineRule="auto"/>
      </w:pPr>
    </w:p>
    <w:p w14:paraId="61DA871B" w14:textId="12E70ACA" w:rsidR="007C0A7A" w:rsidRDefault="00836641">
      <w:pPr>
        <w:spacing w:line="276" w:lineRule="auto"/>
      </w:pPr>
      <w:r>
        <w:rPr>
          <w:b/>
          <w:bCs/>
        </w:rPr>
        <w:t>LONDON, UK</w:t>
      </w:r>
      <w:r>
        <w:t xml:space="preserve"> </w:t>
      </w:r>
      <w:r w:rsidR="00CB722F">
        <w:t>08</w:t>
      </w:r>
      <w:r>
        <w:t xml:space="preserve"> October 2026 — </w:t>
      </w:r>
      <w:r>
        <w:t>A fundamental shift is underway in the global food supply chain. While many Western food and beverage manufacturers continue to treat climate resilience primarily as a compliance issue, China's food sector is increasingly embedding climate resilience into core business strategy, positioning it as a driver of innovation, growth and long-term commercial value.</w:t>
      </w:r>
    </w:p>
    <w:p w14:paraId="177E0EC6" w14:textId="7E29D17B" w:rsidR="007C0A7A" w:rsidRDefault="00836641">
      <w:pPr>
        <w:spacing w:line="276" w:lineRule="auto"/>
      </w:pPr>
      <w:r>
        <w:t xml:space="preserve">According to </w:t>
      </w:r>
      <w:r w:rsidRPr="00CB722F">
        <w:t>new Lumina Intelligence research</w:t>
      </w:r>
      <w:r>
        <w:t xml:space="preserve"> conducted among 250 senior decision-makers across food, beverage, ingredient, and FMCG manufacturers, China’s investment momentum is outpacing all other global markets. </w:t>
      </w:r>
    </w:p>
    <w:p w14:paraId="5A096DFC" w14:textId="078112E1" w:rsidR="007C0A7A" w:rsidRDefault="00836641">
      <w:pPr>
        <w:spacing w:line="276" w:lineRule="auto"/>
      </w:pPr>
      <w:r>
        <w:t xml:space="preserve">Over half (53%) of Chinese respondents to the </w:t>
      </w:r>
      <w:hyperlink r:id="rId5" w:history="1">
        <w:r w:rsidRPr="00CB722F">
          <w:rPr>
            <w:rStyle w:val="Hyperlink"/>
            <w:i/>
            <w:iCs/>
          </w:rPr>
          <w:t>Climate-Smart Resilience Report 2026</w:t>
        </w:r>
      </w:hyperlink>
      <w:r>
        <w:rPr>
          <w:i/>
          <w:iCs/>
        </w:rPr>
        <w:t xml:space="preserve"> </w:t>
      </w:r>
      <w:r>
        <w:t>said they are investing more in ‘climate-smart’ initiatives than three years ago — including 13% who are investing significantly more — representing the highest share globally.</w:t>
      </w:r>
    </w:p>
    <w:p w14:paraId="36CD5542" w14:textId="77777777" w:rsidR="007C0A7A" w:rsidRDefault="00836641">
      <w:pPr>
        <w:spacing w:line="276" w:lineRule="auto"/>
      </w:pPr>
      <w:r>
        <w:t xml:space="preserve">Climate-smart initiatives include a broad range of measures, </w:t>
      </w:r>
      <w:proofErr w:type="gramStart"/>
      <w:r>
        <w:t>from regenerative agriculture and water stewardship,</w:t>
      </w:r>
      <w:proofErr w:type="gramEnd"/>
      <w:r>
        <w:t xml:space="preserve"> to biological crop inputs and carbon reporting.</w:t>
      </w:r>
    </w:p>
    <w:p w14:paraId="7E4C905A" w14:textId="1B6680E3" w:rsidR="007C0A7A" w:rsidRDefault="00836641">
      <w:pPr>
        <w:spacing w:line="276" w:lineRule="auto"/>
        <w:rPr>
          <w:b/>
          <w:bCs/>
        </w:rPr>
      </w:pPr>
      <w:r>
        <w:rPr>
          <w:b/>
          <w:bCs/>
        </w:rPr>
        <w:t>A strategic divide</w:t>
      </w:r>
    </w:p>
    <w:p w14:paraId="5A4AC28E" w14:textId="77777777" w:rsidR="007C0A7A" w:rsidRDefault="00836641">
      <w:pPr>
        <w:spacing w:line="276" w:lineRule="auto"/>
      </w:pPr>
      <w:r>
        <w:t xml:space="preserve">The report highlights a growing divergence in how different regions frame the climate threat. Not a single respondent in China described their primary approach to climate resilience as </w:t>
      </w:r>
      <w:proofErr w:type="gramStart"/>
      <w:r>
        <w:t>compliance-driven</w:t>
      </w:r>
      <w:proofErr w:type="gramEnd"/>
      <w:r>
        <w:t>. Instead, 47% frame it as business risk management, and 20% view it directly as a driver of innovation and growth — both market-leading figures.</w:t>
      </w:r>
    </w:p>
    <w:p w14:paraId="0116B727" w14:textId="77777777" w:rsidR="007C0A7A" w:rsidRDefault="00836641">
      <w:pPr>
        <w:spacing w:line="276" w:lineRule="auto"/>
      </w:pPr>
      <w:r>
        <w:t xml:space="preserve">By contrast, western firms remain largely reactive, constrained by rigid short-term payback expectations and European regulatory mandates. </w:t>
      </w:r>
    </w:p>
    <w:p w14:paraId="5F7D066B" w14:textId="77777777" w:rsidR="007C0A7A" w:rsidRDefault="00836641">
      <w:pPr>
        <w:spacing w:line="276" w:lineRule="auto"/>
      </w:pPr>
      <w:r>
        <w:t>Internal drivers, such as corporate commitments (50%) and investor expectations (37%), dominate the strategy in China, where 10% of businesses have already fully embedded climate resilience into their core corporate strategy — nearly double the global average of 6%.</w:t>
      </w:r>
    </w:p>
    <w:p w14:paraId="5A6C1A00" w14:textId="70E95865" w:rsidR="007C0A7A" w:rsidRDefault="00836641">
      <w:pPr>
        <w:spacing w:line="276" w:lineRule="auto"/>
      </w:pPr>
      <w:r>
        <w:rPr>
          <w:b/>
          <w:bCs/>
        </w:rPr>
        <w:t xml:space="preserve">Commenting on the findings, </w:t>
      </w:r>
      <w:r w:rsidR="00E64C08">
        <w:rPr>
          <w:b/>
          <w:bCs/>
        </w:rPr>
        <w:t>Insight lead Katie Gallagher</w:t>
      </w:r>
      <w:r>
        <w:rPr>
          <w:b/>
          <w:bCs/>
        </w:rPr>
        <w:t xml:space="preserve"> at Lumina Intelligence, said</w:t>
      </w:r>
      <w:r>
        <w:t xml:space="preserve">: "What we are seeing in the data is part of a much broader geopolitical shift. Just as China </w:t>
      </w:r>
      <w:r>
        <w:lastRenderedPageBreak/>
        <w:t xml:space="preserve">moved decisively to capture leadership in electric vehicles and green energy, its food sector is now positioning climate resilience not as a regulatory burden, but as an essential competitive strategy. </w:t>
      </w:r>
    </w:p>
    <w:p w14:paraId="002E6339" w14:textId="77777777" w:rsidR="007C0A7A" w:rsidRDefault="00836641">
      <w:pPr>
        <w:spacing w:line="276" w:lineRule="auto"/>
      </w:pPr>
      <w:r>
        <w:t>“While western businesses are more hesitant over immediate payback periods, Chinese leaders are building supply-chain strength that looks better placed to build climate-smart resilience over the next decade."</w:t>
      </w:r>
    </w:p>
    <w:p w14:paraId="0EA1206E" w14:textId="77777777" w:rsidR="007C0A7A" w:rsidRDefault="00836641">
      <w:pPr>
        <w:spacing w:line="276" w:lineRule="auto"/>
        <w:rPr>
          <w:b/>
          <w:bCs/>
        </w:rPr>
      </w:pPr>
      <w:r>
        <w:rPr>
          <w:b/>
          <w:bCs/>
        </w:rPr>
        <w:t>Investment momentum disparities</w:t>
      </w:r>
    </w:p>
    <w:p w14:paraId="5665E192" w14:textId="77777777" w:rsidR="007C0A7A" w:rsidRDefault="00836641">
      <w:pPr>
        <w:spacing w:line="276" w:lineRule="auto"/>
      </w:pPr>
      <w:r>
        <w:t>While China leads the investment charge, momentum across Europe is highly fragmented. Germany (52%) and Spain (48%) show active movement, but large enterprises globally (5,000–9,999 employees) remain the most stagnant: 62% report no change in their climate resilience spending over the past three years, while 26% are investing more.</w:t>
      </w:r>
    </w:p>
    <w:p w14:paraId="1D8B7C6F" w14:textId="77777777" w:rsidR="007C0A7A" w:rsidRDefault="00836641">
      <w:pPr>
        <w:spacing w:line="276" w:lineRule="auto"/>
      </w:pPr>
      <w:r>
        <w:t>With nearly 60% of executives citing a lack of clear ROI data as their primary barrier to action, the report concludes that unlocking further capital will require a fundamental overhaul of how the global sector values, finances, and measures agricultural resilience.</w:t>
      </w:r>
    </w:p>
    <w:p w14:paraId="0B316493" w14:textId="77777777" w:rsidR="007C0A7A" w:rsidRDefault="007C0A7A">
      <w:pPr>
        <w:spacing w:line="276" w:lineRule="auto"/>
      </w:pPr>
    </w:p>
    <w:p w14:paraId="00EC225D" w14:textId="77777777" w:rsidR="007C0A7A" w:rsidRDefault="00836641">
      <w:pPr>
        <w:spacing w:line="276" w:lineRule="auto"/>
        <w:jc w:val="center"/>
        <w:rPr>
          <w:i/>
          <w:iCs/>
        </w:rPr>
      </w:pPr>
      <w:r>
        <w:rPr>
          <w:i/>
          <w:iCs/>
        </w:rPr>
        <w:t>[Ends]</w:t>
      </w:r>
    </w:p>
    <w:p w14:paraId="7DEEFDC8" w14:textId="77777777" w:rsidR="007C0A7A" w:rsidRDefault="00836641">
      <w:pPr>
        <w:spacing w:line="276" w:lineRule="auto"/>
        <w:rPr>
          <w:b/>
          <w:bCs/>
        </w:rPr>
      </w:pPr>
      <w:r>
        <w:rPr>
          <w:b/>
          <w:bCs/>
        </w:rPr>
        <w:t>Notes to editors</w:t>
      </w:r>
    </w:p>
    <w:p w14:paraId="548AE41B" w14:textId="77777777" w:rsidR="007C0A7A" w:rsidRDefault="00836641">
      <w:pPr>
        <w:spacing w:after="0" w:line="276" w:lineRule="auto"/>
        <w:rPr>
          <w:b/>
          <w:bCs/>
        </w:rPr>
      </w:pPr>
      <w:r>
        <w:t xml:space="preserve">To read the full report or speak with a Lumina Intelligence research analyst, contact Monica Rico +4420 76110434 </w:t>
      </w:r>
      <w:hyperlink r:id="rId6">
        <w:r>
          <w:rPr>
            <w:color w:val="1155CC"/>
            <w:u w:val="single"/>
          </w:rPr>
          <w:t>monica.ricocastrillo@Lumina-intelligence.co.uk</w:t>
        </w:r>
      </w:hyperlink>
    </w:p>
    <w:p w14:paraId="6F5DCE53" w14:textId="77777777" w:rsidR="007C0A7A" w:rsidRDefault="007C0A7A">
      <w:pPr>
        <w:spacing w:line="276" w:lineRule="auto"/>
        <w:rPr>
          <w:b/>
          <w:bCs/>
        </w:rPr>
      </w:pPr>
    </w:p>
    <w:p w14:paraId="7CC14347" w14:textId="77777777" w:rsidR="007C0A7A" w:rsidRDefault="00836641">
      <w:pPr>
        <w:spacing w:line="276" w:lineRule="auto"/>
        <w:rPr>
          <w:b/>
          <w:bCs/>
        </w:rPr>
      </w:pPr>
      <w:r>
        <w:rPr>
          <w:b/>
          <w:bCs/>
        </w:rPr>
        <w:t xml:space="preserve">About the research </w:t>
      </w:r>
    </w:p>
    <w:p w14:paraId="1D3F082F" w14:textId="68B21884" w:rsidR="007C0A7A" w:rsidRDefault="00836641">
      <w:pPr>
        <w:spacing w:line="276" w:lineRule="auto"/>
      </w:pPr>
      <w:r>
        <w:t xml:space="preserve">The </w:t>
      </w:r>
      <w:hyperlink r:id="rId7" w:history="1">
        <w:r w:rsidRPr="00E64C08">
          <w:rPr>
            <w:rStyle w:val="Hyperlink"/>
          </w:rPr>
          <w:t>Climate-Smart Resilience Report 2026</w:t>
        </w:r>
      </w:hyperlink>
      <w:r>
        <w:t xml:space="preserve"> is based on an independent study of 250 senior decision-makers across the food, beverage, ingredient, and FMCG manufacturing sectors in key global markets. The research explores corporate attitudes toward climate adaptation, investment capital flows, strategic integration, and financial hurdle</w:t>
      </w:r>
    </w:p>
    <w:p w14:paraId="1629C3A0" w14:textId="77777777" w:rsidR="007C0A7A" w:rsidRDefault="00836641">
      <w:pPr>
        <w:spacing w:line="276" w:lineRule="auto"/>
        <w:rPr>
          <w:b/>
          <w:bCs/>
        </w:rPr>
      </w:pPr>
      <w:r>
        <w:rPr>
          <w:b/>
          <w:bCs/>
        </w:rPr>
        <w:t>About Lumina Intelligence</w:t>
      </w:r>
    </w:p>
    <w:p w14:paraId="5B428EB7" w14:textId="77777777" w:rsidR="007C0A7A" w:rsidRDefault="00836641">
      <w:pPr>
        <w:spacing w:line="276" w:lineRule="auto"/>
      </w:pPr>
      <w:hyperlink r:id="rId8">
        <w:r>
          <w:rPr>
            <w:color w:val="0563C1"/>
            <w:u w:val="single"/>
          </w:rPr>
          <w:t>Lumina Intelligence</w:t>
        </w:r>
      </w:hyperlink>
      <w:r>
        <w:t xml:space="preserve"> helps food and drink brands understand their consumers and markets - so they can grow faster, plan smarter, and make better commercial decisions.</w:t>
      </w:r>
    </w:p>
    <w:p w14:paraId="2369E829" w14:textId="77777777" w:rsidR="007C0A7A" w:rsidRDefault="00836641">
      <w:pPr>
        <w:spacing w:line="276" w:lineRule="auto"/>
      </w:pPr>
      <w:r>
        <w:t>We specialise in insight for grocery retail and hospitality, combining trusted data with expert analysis to support your commercial, category, and insight teams.</w:t>
      </w:r>
    </w:p>
    <w:p w14:paraId="30FC3307" w14:textId="77777777" w:rsidR="007C0A7A" w:rsidRDefault="007C0A7A">
      <w:pPr>
        <w:spacing w:line="276" w:lineRule="auto"/>
        <w:rPr>
          <w:b/>
          <w:bCs/>
        </w:rPr>
      </w:pPr>
    </w:p>
    <w:sectPr w:rsidR="007C0A7A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98E7EC8-D54F-48DE-8AF9-0AB200A03B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8B81619-8778-4E8E-A29A-234AE849BA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A7A"/>
    <w:rsid w:val="00632A50"/>
    <w:rsid w:val="007C0A7A"/>
    <w:rsid w:val="00836641"/>
    <w:rsid w:val="00CB722F"/>
    <w:rsid w:val="00E6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DCBD4"/>
  <w15:docId w15:val="{1D7E77E5-7932-4222-8C1B-A3C74722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B72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72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umina-intelligence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ore.lumina-intelligence.com/product/climate-smart-resilience-report-202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nica.ricocastrillo@lumina-intelligence.co.uk" TargetMode="External"/><Relationship Id="rId5" Type="http://schemas.openxmlformats.org/officeDocument/2006/relationships/hyperlink" Target="https://store.lumina-intelligence.com/product/climate-smart-resilience-report-2026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650</Words>
  <Characters>3957</Characters>
  <Application>Microsoft Office Word</Application>
  <DocSecurity>0</DocSecurity>
  <Lines>71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William Reed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Rico Castrillo</dc:creator>
  <cp:lastModifiedBy>Monica Rico Castrillo</cp:lastModifiedBy>
  <cp:revision>2</cp:revision>
  <dcterms:created xsi:type="dcterms:W3CDTF">2026-10-08T13:40:00Z</dcterms:created>
  <dcterms:modified xsi:type="dcterms:W3CDTF">2026-10-08T13:40:00Z</dcterms:modified>
</cp:coreProperties>
</file>