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7615" w14:textId="77777777" w:rsidR="0069450B" w:rsidRPr="008B64C2" w:rsidRDefault="0069450B" w:rsidP="0069450B">
      <w:pPr>
        <w:rPr>
          <w:rFonts w:asciiTheme="majorHAnsi" w:hAnsiTheme="majorHAnsi" w:cstheme="majorHAnsi"/>
          <w:b/>
          <w:bCs/>
          <w:color w:val="505050"/>
          <w:sz w:val="20"/>
          <w:szCs w:val="20"/>
        </w:rPr>
      </w:pPr>
      <w:r w:rsidRPr="008B64C2">
        <w:rPr>
          <w:rFonts w:asciiTheme="majorHAnsi" w:hAnsiTheme="majorHAnsi" w:cstheme="majorHAnsi"/>
          <w:b/>
          <w:bCs/>
          <w:noProof/>
          <w:color w:val="505050"/>
          <w:sz w:val="20"/>
          <w:szCs w:val="20"/>
        </w:rPr>
        <w:drawing>
          <wp:anchor distT="0" distB="0" distL="114300" distR="114300" simplePos="0" relativeHeight="251659264" behindDoc="1" locked="0" layoutInCell="1" allowOverlap="1" wp14:anchorId="5ECED215" wp14:editId="7B4CB8A5">
            <wp:simplePos x="0" y="0"/>
            <wp:positionH relativeFrom="margin">
              <wp:posOffset>4781550</wp:posOffset>
            </wp:positionH>
            <wp:positionV relativeFrom="paragraph">
              <wp:posOffset>8890</wp:posOffset>
            </wp:positionV>
            <wp:extent cx="1422400" cy="847725"/>
            <wp:effectExtent l="0" t="0" r="0" b="0"/>
            <wp:wrapTight wrapText="bothSides">
              <wp:wrapPolygon edited="0">
                <wp:start x="1446" y="2427"/>
                <wp:lineTo x="1446" y="16503"/>
                <wp:lineTo x="2893" y="17960"/>
                <wp:lineTo x="8100" y="18930"/>
                <wp:lineTo x="9836" y="18930"/>
                <wp:lineTo x="14464" y="17960"/>
                <wp:lineTo x="19961" y="14076"/>
                <wp:lineTo x="20250" y="6796"/>
                <wp:lineTo x="18804" y="4854"/>
                <wp:lineTo x="13307" y="2427"/>
                <wp:lineTo x="1446" y="242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2400" cy="847725"/>
                    </a:xfrm>
                    <a:prstGeom prst="rect">
                      <a:avLst/>
                    </a:prstGeom>
                  </pic:spPr>
                </pic:pic>
              </a:graphicData>
            </a:graphic>
            <wp14:sizeRelH relativeFrom="margin">
              <wp14:pctWidth>0</wp14:pctWidth>
            </wp14:sizeRelH>
            <wp14:sizeRelV relativeFrom="margin">
              <wp14:pctHeight>0</wp14:pctHeight>
            </wp14:sizeRelV>
          </wp:anchor>
        </w:drawing>
      </w:r>
      <w:r w:rsidRPr="008B64C2">
        <w:rPr>
          <w:rFonts w:asciiTheme="majorHAnsi" w:hAnsiTheme="majorHAnsi" w:cstheme="majorHAnsi"/>
          <w:b/>
          <w:bCs/>
          <w:color w:val="505050"/>
          <w:sz w:val="20"/>
          <w:szCs w:val="20"/>
        </w:rPr>
        <w:t>CONTACT INFORMATION:</w:t>
      </w:r>
    </w:p>
    <w:p w14:paraId="3DE5B994" w14:textId="77777777" w:rsidR="0069450B" w:rsidRPr="008B64C2" w:rsidRDefault="0069450B" w:rsidP="0069450B">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310D3437" w14:textId="77777777" w:rsidR="0069450B" w:rsidRPr="008B64C2" w:rsidRDefault="0069450B" w:rsidP="0069450B">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Monica Rico</w:t>
      </w:r>
    </w:p>
    <w:p w14:paraId="6298E677" w14:textId="77777777" w:rsidR="0069450B" w:rsidRPr="008B64C2" w:rsidRDefault="0069450B" w:rsidP="0069450B">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07423555808</w:t>
      </w:r>
    </w:p>
    <w:p w14:paraId="1ECE3DD2" w14:textId="77777777" w:rsidR="0069450B" w:rsidRPr="008B64C2" w:rsidRDefault="0069450B" w:rsidP="0069450B">
      <w:pPr>
        <w:spacing w:after="0" w:line="240" w:lineRule="auto"/>
        <w:rPr>
          <w:rStyle w:val="Hyperlink"/>
          <w:rFonts w:asciiTheme="majorHAnsi" w:hAnsiTheme="majorHAnsi" w:cstheme="majorHAnsi"/>
          <w:color w:val="505050"/>
          <w:sz w:val="20"/>
          <w:szCs w:val="20"/>
        </w:rPr>
      </w:pPr>
      <w:hyperlink r:id="rId6" w:history="1">
        <w:r w:rsidRPr="008B64C2">
          <w:rPr>
            <w:rStyle w:val="Hyperlink"/>
            <w:rFonts w:asciiTheme="majorHAnsi" w:hAnsiTheme="majorHAnsi" w:cstheme="majorHAnsi"/>
            <w:b/>
            <w:bCs/>
            <w:sz w:val="20"/>
            <w:szCs w:val="20"/>
          </w:rPr>
          <w:t>monica.ricocastrillo@lumina-intelligence.co.uk</w:t>
        </w:r>
      </w:hyperlink>
    </w:p>
    <w:p w14:paraId="69266BEA" w14:textId="77777777" w:rsidR="0069450B" w:rsidRPr="008B64C2" w:rsidRDefault="0069450B" w:rsidP="0069450B">
      <w:pPr>
        <w:spacing w:after="0" w:line="240" w:lineRule="auto"/>
        <w:rPr>
          <w:rFonts w:asciiTheme="majorHAnsi" w:hAnsiTheme="majorHAnsi" w:cstheme="majorHAnsi"/>
          <w:sz w:val="20"/>
          <w:szCs w:val="20"/>
          <w:u w:val="single"/>
        </w:rPr>
      </w:pPr>
    </w:p>
    <w:p w14:paraId="0206ECEB" w14:textId="0AC5822A" w:rsidR="0069450B" w:rsidRPr="00211178" w:rsidRDefault="00ED7A70" w:rsidP="0069450B">
      <w:pPr>
        <w:spacing w:after="0" w:line="240" w:lineRule="auto"/>
        <w:rPr>
          <w:rFonts w:asciiTheme="majorHAnsi" w:hAnsiTheme="majorHAnsi" w:cstheme="majorHAnsi"/>
          <w:b/>
          <w:bCs/>
          <w:sz w:val="20"/>
          <w:szCs w:val="20"/>
          <w:u w:val="single"/>
        </w:rPr>
      </w:pPr>
      <w:proofErr w:type="gramStart"/>
      <w:r>
        <w:rPr>
          <w:rFonts w:asciiTheme="majorHAnsi" w:hAnsiTheme="majorHAnsi" w:cstheme="majorHAnsi"/>
          <w:b/>
          <w:bCs/>
          <w:sz w:val="20"/>
          <w:szCs w:val="20"/>
          <w:u w:val="single"/>
        </w:rPr>
        <w:t>2</w:t>
      </w:r>
      <w:r w:rsidR="00443D7D">
        <w:rPr>
          <w:rFonts w:asciiTheme="majorHAnsi" w:hAnsiTheme="majorHAnsi" w:cstheme="majorHAnsi"/>
          <w:b/>
          <w:bCs/>
          <w:sz w:val="20"/>
          <w:szCs w:val="20"/>
          <w:u w:val="single"/>
        </w:rPr>
        <w:t>th</w:t>
      </w:r>
      <w:proofErr w:type="gramEnd"/>
      <w:r w:rsidR="00AB4BB1">
        <w:rPr>
          <w:rFonts w:asciiTheme="majorHAnsi" w:hAnsiTheme="majorHAnsi" w:cstheme="majorHAnsi"/>
          <w:b/>
          <w:bCs/>
          <w:sz w:val="20"/>
          <w:szCs w:val="20"/>
          <w:u w:val="single"/>
        </w:rPr>
        <w:t xml:space="preserve"> </w:t>
      </w:r>
      <w:r w:rsidR="00443D7D">
        <w:rPr>
          <w:rFonts w:asciiTheme="majorHAnsi" w:hAnsiTheme="majorHAnsi" w:cstheme="majorHAnsi"/>
          <w:b/>
          <w:bCs/>
          <w:sz w:val="20"/>
          <w:szCs w:val="20"/>
          <w:u w:val="single"/>
        </w:rPr>
        <w:t>April</w:t>
      </w:r>
      <w:r w:rsidR="0069450B" w:rsidRPr="008B64C2">
        <w:rPr>
          <w:rFonts w:asciiTheme="majorHAnsi" w:hAnsiTheme="majorHAnsi" w:cstheme="majorHAnsi"/>
          <w:b/>
          <w:bCs/>
          <w:sz w:val="20"/>
          <w:szCs w:val="20"/>
          <w:u w:val="single"/>
        </w:rPr>
        <w:t xml:space="preserve"> 202</w:t>
      </w:r>
      <w:r w:rsidR="008C26F7">
        <w:rPr>
          <w:rFonts w:asciiTheme="majorHAnsi" w:hAnsiTheme="majorHAnsi" w:cstheme="majorHAnsi"/>
          <w:b/>
          <w:bCs/>
          <w:sz w:val="20"/>
          <w:szCs w:val="20"/>
          <w:u w:val="single"/>
        </w:rPr>
        <w:t>6</w:t>
      </w:r>
    </w:p>
    <w:p w14:paraId="3DEE9F24" w14:textId="50A6416C" w:rsidR="0069450B" w:rsidRDefault="0069450B" w:rsidP="003C3267">
      <w:pPr>
        <w:rPr>
          <w:b/>
          <w:bCs/>
        </w:rPr>
      </w:pPr>
    </w:p>
    <w:p w14:paraId="6230C140" w14:textId="77777777" w:rsidR="00921963" w:rsidRDefault="00921963" w:rsidP="00921963">
      <w:pPr>
        <w:rPr>
          <w:sz w:val="28"/>
          <w:szCs w:val="28"/>
        </w:rPr>
      </w:pPr>
    </w:p>
    <w:p w14:paraId="7FCC219F" w14:textId="77777777" w:rsidR="00B41CF0" w:rsidRDefault="00B41CF0" w:rsidP="00B41CF0">
      <w:pPr>
        <w:rPr>
          <w:b/>
          <w:bCs/>
          <w:sz w:val="32"/>
          <w:szCs w:val="32"/>
        </w:rPr>
      </w:pPr>
      <w:r w:rsidRPr="00B41CF0">
        <w:rPr>
          <w:b/>
          <w:bCs/>
          <w:sz w:val="32"/>
          <w:szCs w:val="32"/>
        </w:rPr>
        <w:t>UK Forecourts Face Rising Pressure – But Food-to-Go and Planned Top-Ups Point to a Path Forward</w:t>
      </w:r>
      <w:r>
        <w:rPr>
          <w:b/>
          <w:bCs/>
          <w:sz w:val="32"/>
          <w:szCs w:val="32"/>
        </w:rPr>
        <w:t xml:space="preserve"> </w:t>
      </w:r>
    </w:p>
    <w:p w14:paraId="167F9FBC" w14:textId="77777777" w:rsidR="00B41CF0" w:rsidRDefault="00B41CF0" w:rsidP="00B41CF0">
      <w:pPr>
        <w:rPr>
          <w:b/>
          <w:bCs/>
        </w:rPr>
      </w:pPr>
    </w:p>
    <w:p w14:paraId="230C6554" w14:textId="3FF182D1" w:rsidR="00B41CF0" w:rsidRPr="00B41CF0" w:rsidRDefault="00B41CF0" w:rsidP="00B41CF0">
      <w:r w:rsidRPr="00B41CF0">
        <w:t xml:space="preserve">UK forecourt operators are navigating one of the most testing trading environments in recent years, according to new research from </w:t>
      </w:r>
      <w:hyperlink r:id="rId7" w:history="1">
        <w:r w:rsidRPr="00B41CF0">
          <w:rPr>
            <w:rStyle w:val="Hyperlink"/>
            <w:b/>
            <w:bCs/>
          </w:rPr>
          <w:t>Lumina Intelligence’s</w:t>
        </w:r>
        <w:r w:rsidR="00B76C04">
          <w:rPr>
            <w:rStyle w:val="Hyperlink"/>
            <w:b/>
            <w:bCs/>
          </w:rPr>
          <w:t xml:space="preserve"> UK</w:t>
        </w:r>
        <w:r w:rsidRPr="00B41CF0">
          <w:rPr>
            <w:rStyle w:val="Hyperlink"/>
            <w:b/>
            <w:bCs/>
          </w:rPr>
          <w:t xml:space="preserve"> Forecourt </w:t>
        </w:r>
        <w:r w:rsidR="00B76C04">
          <w:rPr>
            <w:rStyle w:val="Hyperlink"/>
            <w:b/>
            <w:bCs/>
          </w:rPr>
          <w:t xml:space="preserve">Market </w:t>
        </w:r>
        <w:r w:rsidRPr="00B41CF0">
          <w:rPr>
            <w:rStyle w:val="Hyperlink"/>
            <w:b/>
            <w:bCs/>
          </w:rPr>
          <w:t>Report 2026</w:t>
        </w:r>
      </w:hyperlink>
      <w:r w:rsidRPr="00B41CF0">
        <w:t xml:space="preserve">. Rising costs, regulatory pressure and </w:t>
      </w:r>
      <w:r w:rsidR="00D84591">
        <w:t xml:space="preserve">concerns of </w:t>
      </w:r>
      <w:r w:rsidRPr="00B41CF0">
        <w:t>declining footfall are converging to create heightened uncertainty across the channel – yet opportunities remain for those adapting their offer in line with evolving shopper missions.</w:t>
      </w:r>
    </w:p>
    <w:p w14:paraId="2D97FEED" w14:textId="3C8044C4" w:rsidR="00B41CF0" w:rsidRPr="00B41CF0" w:rsidRDefault="00B41CF0" w:rsidP="00B41CF0">
      <w:r w:rsidRPr="00B41CF0">
        <w:t xml:space="preserve">Lumina’s latest analysis shows growing pessimism among forecourt operators, with </w:t>
      </w:r>
      <w:hyperlink r:id="rId8" w:history="1">
        <w:r w:rsidRPr="00E35A00">
          <w:rPr>
            <w:rStyle w:val="Hyperlink"/>
          </w:rPr>
          <w:t>more reporting the trading environment as challenging</w:t>
        </w:r>
      </w:hyperlink>
      <w:r w:rsidRPr="00B41CF0">
        <w:t xml:space="preserve"> than at any point in recent years. Increased business rates, tighter regulation and softening footfall are all contributing to pressure, compounded by legislative changes in key revenue-driving categories. Against this backdrop, operators are being forced to look beyond fuel to justify visits and protect margins.</w:t>
      </w:r>
    </w:p>
    <w:p w14:paraId="3B1B9D28" w14:textId="17900AA6" w:rsidR="00B41CF0" w:rsidRPr="00B41CF0" w:rsidRDefault="00B41CF0" w:rsidP="00B41CF0">
      <w:r w:rsidRPr="00B41CF0">
        <w:t>One area standing out as a clear growth engine is food-to-go. Once a supporting proposition, food-to-go has become central to the modern forecourt offer, driving impulse behaviour, increasing dwell time and helping convert fuel-only</w:t>
      </w:r>
      <w:r w:rsidR="00D84591">
        <w:t>/charge-only</w:t>
      </w:r>
      <w:r w:rsidRPr="00B41CF0">
        <w:t xml:space="preserve"> visits into higher-value transactions. Demand for quality hot food, barista-style coffee and trusted branded concessions continues to rise, with shoppers increasingly viewing forecourts as credible destinations rather than last-minute options.</w:t>
      </w:r>
    </w:p>
    <w:p w14:paraId="2D68DB91" w14:textId="77777777" w:rsidR="00B41CF0" w:rsidRPr="00B41CF0" w:rsidRDefault="00B41CF0" w:rsidP="00B41CF0">
      <w:r w:rsidRPr="00B41CF0">
        <w:t>However, growth is not limited to impulse-led trips. The report finds that planned top-up missions are gaining momentum, delivering larger baskets and attracting a broader shopper base – particularly families. Forecourts are increasingly being used for fresh, chilled and everyday essentials, with these more considered visits bringing significantly higher basket spend and greater scope for incremental purchases. As pressure on household budgets persists, convenience paired with reliability is becoming a powerful driver of choice.</w:t>
      </w:r>
    </w:p>
    <w:p w14:paraId="2ABC052C" w14:textId="3081FACA" w:rsidR="00B41CF0" w:rsidRPr="00B41CF0" w:rsidRDefault="00B41CF0" w:rsidP="00B41CF0">
      <w:r w:rsidRPr="00B41CF0">
        <w:t>“</w:t>
      </w:r>
      <w:r w:rsidRPr="00B41CF0">
        <w:rPr>
          <w:i/>
          <w:iCs/>
        </w:rPr>
        <w:t>Forecourts are being pulled in two directions</w:t>
      </w:r>
      <w:r w:rsidRPr="00B41CF0">
        <w:t>,” says</w:t>
      </w:r>
      <w:r w:rsidR="00B76C04" w:rsidRPr="00B76C04">
        <w:t xml:space="preserve"> </w:t>
      </w:r>
      <w:r w:rsidRPr="00B41CF0">
        <w:t>Lumina Intelligence</w:t>
      </w:r>
      <w:r w:rsidR="00B76C04" w:rsidRPr="00B76C04">
        <w:t>’s Head of insight, Andy Crossan</w:t>
      </w:r>
      <w:r w:rsidRPr="00B41CF0">
        <w:t>. “</w:t>
      </w:r>
      <w:r w:rsidRPr="00B41CF0">
        <w:rPr>
          <w:i/>
          <w:iCs/>
        </w:rPr>
        <w:t>On one hand, operators are under mounting cost and regulatory pressure. On the other, shoppers are asking forecourts to do more</w:t>
      </w:r>
      <w:r w:rsidR="00B76C04" w:rsidRPr="00B76C04">
        <w:rPr>
          <w:i/>
          <w:iCs/>
        </w:rPr>
        <w:t xml:space="preserve">, </w:t>
      </w:r>
      <w:r w:rsidRPr="00B41CF0">
        <w:rPr>
          <w:i/>
          <w:iCs/>
        </w:rPr>
        <w:t>and those that deliver on food-to-go quality and planned top-up credibility are seeing stronger engagement and spend</w:t>
      </w:r>
      <w:r w:rsidRPr="00B41CF0">
        <w:t>.”</w:t>
      </w:r>
    </w:p>
    <w:p w14:paraId="20CCE3A7" w14:textId="42116467" w:rsidR="008C26F7" w:rsidRDefault="00B41CF0" w:rsidP="008C26F7">
      <w:r w:rsidRPr="00B41CF0">
        <w:t>The research also highlights that value perceptions remain critical. In a market where shoppers are highly price-aware, clear ranging, strong visibility and ease of shop are becoming essential tools for converting footfall into transactions. Small executional details – from store layout to signposting – increasingly influence whether a forecourt visit stays purely functional or becomes a retail opportunity.</w:t>
      </w:r>
    </w:p>
    <w:p w14:paraId="78B4A9E6" w14:textId="77777777" w:rsidR="00B76C04" w:rsidRPr="008C26F7" w:rsidRDefault="00B76C04" w:rsidP="008C26F7"/>
    <w:p w14:paraId="7533CEF4" w14:textId="543A1D43" w:rsidR="008C26F7" w:rsidRPr="008C26F7" w:rsidRDefault="008C26F7" w:rsidP="008C26F7">
      <w:r w:rsidRPr="008C26F7">
        <w:rPr>
          <w:b/>
          <w:bCs/>
        </w:rPr>
        <w:lastRenderedPageBreak/>
        <w:t>ENDS</w:t>
      </w:r>
    </w:p>
    <w:p w14:paraId="587B7EF2" w14:textId="14C1F870" w:rsidR="0069450B" w:rsidRDefault="0069450B" w:rsidP="003C3267"/>
    <w:p w14:paraId="7B72485D" w14:textId="16F35734" w:rsidR="0069450B" w:rsidRDefault="00ED7A70" w:rsidP="0069450B">
      <w:pPr>
        <w:rPr>
          <w:rFonts w:cstheme="minorHAnsi"/>
          <w:b/>
          <w:bCs/>
        </w:rPr>
      </w:pPr>
      <w:r>
        <w:rPr>
          <w:rFonts w:cstheme="minorHAnsi"/>
          <w:b/>
          <w:bCs/>
        </w:rPr>
        <w:t>About the Report</w:t>
      </w:r>
    </w:p>
    <w:p w14:paraId="4121A05A" w14:textId="77777777" w:rsidR="00B76C04" w:rsidRDefault="00322BFF" w:rsidP="00B76C04">
      <w:hyperlink r:id="rId9" w:history="1">
        <w:r w:rsidRPr="00B76C04">
          <w:rPr>
            <w:rStyle w:val="Hyperlink"/>
            <w:rFonts w:ascii="Arial" w:hAnsi="Arial" w:cs="Arial"/>
          </w:rPr>
          <w:t>Lumina Intelligence</w:t>
        </w:r>
        <w:r w:rsidR="00B76C04">
          <w:rPr>
            <w:rStyle w:val="Hyperlink"/>
            <w:rFonts w:ascii="Arial" w:hAnsi="Arial" w:cs="Arial"/>
          </w:rPr>
          <w:t>’s</w:t>
        </w:r>
        <w:r w:rsidRPr="00B76C04">
          <w:rPr>
            <w:rStyle w:val="Hyperlink"/>
            <w:rFonts w:ascii="Arial" w:hAnsi="Arial" w:cs="Arial"/>
          </w:rPr>
          <w:t xml:space="preserve"> UK </w:t>
        </w:r>
        <w:r w:rsidR="00B76C04" w:rsidRPr="00B76C04">
          <w:rPr>
            <w:rStyle w:val="Hyperlink"/>
            <w:rFonts w:ascii="Arial" w:hAnsi="Arial" w:cs="Arial"/>
          </w:rPr>
          <w:t>Forecourt Market Report</w:t>
        </w:r>
        <w:r w:rsidRPr="00B76C04">
          <w:rPr>
            <w:rStyle w:val="Hyperlink"/>
            <w:rFonts w:ascii="Arial" w:hAnsi="Arial" w:cs="Arial"/>
          </w:rPr>
          <w:t xml:space="preserve"> </w:t>
        </w:r>
        <w:r w:rsidR="00B76C04" w:rsidRPr="00B76C04">
          <w:rPr>
            <w:rStyle w:val="Hyperlink"/>
            <w:rFonts w:ascii="Arial" w:hAnsi="Arial" w:cs="Arial"/>
          </w:rPr>
          <w:t>2026</w:t>
        </w:r>
      </w:hyperlink>
      <w:r w:rsidR="00B76C04">
        <w:rPr>
          <w:rFonts w:ascii="Arial" w:hAnsi="Arial" w:cs="Arial"/>
        </w:rPr>
        <w:t xml:space="preserve"> </w:t>
      </w:r>
      <w:r w:rsidR="00B76C04" w:rsidRPr="00B41CF0">
        <w:t xml:space="preserve">brings together operator and consumer insight to examine how missions are shifting, where growth is emerging and what the future holds for the channel. </w:t>
      </w:r>
    </w:p>
    <w:p w14:paraId="162E1499" w14:textId="6B6FF547" w:rsidR="00B76C04" w:rsidRDefault="00B76C04" w:rsidP="00B76C04">
      <w:r w:rsidRPr="00B76C04">
        <w:t>Drawing on bespoke consumer and operator surveys, this report analyses the shifting role of forecourts, the rise of multi</w:t>
      </w:r>
      <w:r w:rsidRPr="00B76C04">
        <w:noBreakHyphen/>
        <w:t>mission visits, and the growing importance of brand partnerships, food-to-go propositions, convenience retailing, digital engagement, and services such as valeting and parcel collection.</w:t>
      </w:r>
    </w:p>
    <w:p w14:paraId="7C274B0C" w14:textId="77777777" w:rsidR="00B76C04" w:rsidRPr="00B41CF0" w:rsidRDefault="00B76C04" w:rsidP="00B76C04"/>
    <w:p w14:paraId="27611BA1" w14:textId="00D8EBF5" w:rsidR="008C26F7" w:rsidRPr="00885680" w:rsidRDefault="008C26F7" w:rsidP="008C26F7">
      <w:pPr>
        <w:rPr>
          <w:rFonts w:cstheme="minorHAnsi"/>
          <w:b/>
          <w:bCs/>
        </w:rPr>
      </w:pPr>
      <w:r w:rsidRPr="00885680">
        <w:rPr>
          <w:rFonts w:cstheme="minorHAnsi"/>
          <w:b/>
          <w:bCs/>
        </w:rPr>
        <w:t>Who We Are:</w:t>
      </w:r>
    </w:p>
    <w:p w14:paraId="536DA4E9" w14:textId="77777777" w:rsidR="008C26F7" w:rsidRPr="00885680" w:rsidRDefault="008C26F7" w:rsidP="008C26F7">
      <w:pPr>
        <w:rPr>
          <w:rFonts w:cstheme="minorHAnsi"/>
        </w:rPr>
      </w:pPr>
      <w:hyperlink r:id="rId10" w:history="1">
        <w:r w:rsidRPr="00885680">
          <w:rPr>
            <w:rStyle w:val="Hyperlink"/>
            <w:rFonts w:cstheme="minorHAnsi"/>
          </w:rPr>
          <w:t>Lumina Intelligence</w:t>
        </w:r>
      </w:hyperlink>
      <w:r w:rsidRPr="00885680">
        <w:rPr>
          <w:rFonts w:cstheme="minorHAnsi"/>
        </w:rPr>
        <w:t xml:space="preserve"> helps food and drink brands understand their consumers and markets - so they can grow faster, plan smarter, and make better commercial decisions.</w:t>
      </w:r>
    </w:p>
    <w:p w14:paraId="305C6C0B" w14:textId="77777777" w:rsidR="008C26F7" w:rsidRPr="00885680" w:rsidRDefault="008C26F7" w:rsidP="008C26F7">
      <w:pPr>
        <w:rPr>
          <w:rFonts w:cstheme="minorHAnsi"/>
        </w:rPr>
      </w:pPr>
      <w:r w:rsidRPr="00885680">
        <w:rPr>
          <w:rFonts w:cstheme="minorHAnsi"/>
        </w:rPr>
        <w:t>We specialise in insight for grocery retail and hospitality, combining trusted data with expert analysis to support your commercial, category, and insight teams.</w:t>
      </w:r>
    </w:p>
    <w:p w14:paraId="64A99CF6" w14:textId="77777777" w:rsidR="008C26F7" w:rsidRPr="00885680" w:rsidRDefault="008C26F7" w:rsidP="008C26F7">
      <w:pPr>
        <w:rPr>
          <w:rFonts w:cstheme="minorHAnsi"/>
        </w:rPr>
      </w:pPr>
      <w:hyperlink r:id="rId11" w:history="1">
        <w:r w:rsidRPr="00885680">
          <w:rPr>
            <w:rStyle w:val="Hyperlink"/>
            <w:rFonts w:cstheme="minorHAnsi"/>
          </w:rPr>
          <w:t>https://www.lumina-intelligence.com/</w:t>
        </w:r>
      </w:hyperlink>
      <w:r w:rsidRPr="00885680">
        <w:rPr>
          <w:rFonts w:cstheme="minorHAnsi"/>
        </w:rPr>
        <w:t xml:space="preserve"> </w:t>
      </w:r>
    </w:p>
    <w:p w14:paraId="7D7A6BC7" w14:textId="0F9A1D43" w:rsidR="0069450B" w:rsidRDefault="00EC43F8" w:rsidP="0069450B">
      <w:r>
        <w:br w:type="page"/>
      </w:r>
    </w:p>
    <w:p w14:paraId="70649117" w14:textId="77777777" w:rsidR="0069450B" w:rsidRDefault="0069450B" w:rsidP="003C3267"/>
    <w:sectPr w:rsidR="00694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2463"/>
    <w:multiLevelType w:val="multilevel"/>
    <w:tmpl w:val="4B3C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43740"/>
    <w:multiLevelType w:val="multilevel"/>
    <w:tmpl w:val="AA8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A0471"/>
    <w:multiLevelType w:val="multilevel"/>
    <w:tmpl w:val="3198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1135F"/>
    <w:multiLevelType w:val="multilevel"/>
    <w:tmpl w:val="9544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72236"/>
    <w:multiLevelType w:val="multilevel"/>
    <w:tmpl w:val="56649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787C68"/>
    <w:multiLevelType w:val="hybridMultilevel"/>
    <w:tmpl w:val="0976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D02D0"/>
    <w:multiLevelType w:val="multilevel"/>
    <w:tmpl w:val="0F0C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158596">
    <w:abstractNumId w:val="5"/>
  </w:num>
  <w:num w:numId="2" w16cid:durableId="2143032971">
    <w:abstractNumId w:val="4"/>
  </w:num>
  <w:num w:numId="3" w16cid:durableId="1873299769">
    <w:abstractNumId w:val="1"/>
  </w:num>
  <w:num w:numId="4" w16cid:durableId="1588690902">
    <w:abstractNumId w:val="3"/>
  </w:num>
  <w:num w:numId="5" w16cid:durableId="2096707130">
    <w:abstractNumId w:val="0"/>
  </w:num>
  <w:num w:numId="6" w16cid:durableId="344594328">
    <w:abstractNumId w:val="6"/>
  </w:num>
  <w:num w:numId="7" w16cid:durableId="1842160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67"/>
    <w:rsid w:val="00005F3E"/>
    <w:rsid w:val="00023736"/>
    <w:rsid w:val="0006149F"/>
    <w:rsid w:val="000E7F63"/>
    <w:rsid w:val="001165CC"/>
    <w:rsid w:val="00176145"/>
    <w:rsid w:val="001C7AC2"/>
    <w:rsid w:val="002063D4"/>
    <w:rsid w:val="00322BFF"/>
    <w:rsid w:val="003307A7"/>
    <w:rsid w:val="0038544E"/>
    <w:rsid w:val="003C3267"/>
    <w:rsid w:val="00443D7D"/>
    <w:rsid w:val="00551472"/>
    <w:rsid w:val="00597AF9"/>
    <w:rsid w:val="0069450B"/>
    <w:rsid w:val="007F103B"/>
    <w:rsid w:val="008C26F7"/>
    <w:rsid w:val="00921963"/>
    <w:rsid w:val="00966492"/>
    <w:rsid w:val="00AB4BB1"/>
    <w:rsid w:val="00AC5967"/>
    <w:rsid w:val="00B41CF0"/>
    <w:rsid w:val="00B76C04"/>
    <w:rsid w:val="00B77D93"/>
    <w:rsid w:val="00C91B33"/>
    <w:rsid w:val="00CC2B77"/>
    <w:rsid w:val="00D84591"/>
    <w:rsid w:val="00E35A00"/>
    <w:rsid w:val="00E465FF"/>
    <w:rsid w:val="00EC43F8"/>
    <w:rsid w:val="00ED7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A8A5"/>
  <w15:chartTrackingRefBased/>
  <w15:docId w15:val="{42F4D0B8-C891-4C4F-81BD-7D5FD9B0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50B"/>
    <w:rPr>
      <w:color w:val="0563C1" w:themeColor="hyperlink"/>
      <w:u w:val="single"/>
    </w:rPr>
  </w:style>
  <w:style w:type="paragraph" w:styleId="ListParagraph">
    <w:name w:val="List Paragraph"/>
    <w:basedOn w:val="Normal"/>
    <w:uiPriority w:val="34"/>
    <w:qFormat/>
    <w:rsid w:val="0069450B"/>
    <w:pPr>
      <w:ind w:left="720"/>
      <w:contextualSpacing/>
    </w:pPr>
  </w:style>
  <w:style w:type="character" w:styleId="UnresolvedMention">
    <w:name w:val="Unresolved Mention"/>
    <w:basedOn w:val="DefaultParagraphFont"/>
    <w:uiPriority w:val="99"/>
    <w:semiHidden/>
    <w:unhideWhenUsed/>
    <w:rsid w:val="0069450B"/>
    <w:rPr>
      <w:color w:val="605E5C"/>
      <w:shd w:val="clear" w:color="auto" w:fill="E1DFDD"/>
    </w:rPr>
  </w:style>
  <w:style w:type="paragraph" w:styleId="Revision">
    <w:name w:val="Revision"/>
    <w:hidden/>
    <w:uiPriority w:val="99"/>
    <w:semiHidden/>
    <w:rsid w:val="001C7AC2"/>
    <w:pPr>
      <w:spacing w:after="0" w:line="240" w:lineRule="auto"/>
    </w:pPr>
  </w:style>
  <w:style w:type="character" w:styleId="CommentReference">
    <w:name w:val="annotation reference"/>
    <w:basedOn w:val="DefaultParagraphFont"/>
    <w:uiPriority w:val="99"/>
    <w:semiHidden/>
    <w:unhideWhenUsed/>
    <w:rsid w:val="002063D4"/>
    <w:rPr>
      <w:sz w:val="16"/>
      <w:szCs w:val="16"/>
    </w:rPr>
  </w:style>
  <w:style w:type="paragraph" w:styleId="CommentText">
    <w:name w:val="annotation text"/>
    <w:basedOn w:val="Normal"/>
    <w:link w:val="CommentTextChar"/>
    <w:uiPriority w:val="99"/>
    <w:unhideWhenUsed/>
    <w:rsid w:val="002063D4"/>
    <w:pPr>
      <w:spacing w:line="240" w:lineRule="auto"/>
    </w:pPr>
    <w:rPr>
      <w:sz w:val="20"/>
      <w:szCs w:val="20"/>
    </w:rPr>
  </w:style>
  <w:style w:type="character" w:customStyle="1" w:styleId="CommentTextChar">
    <w:name w:val="Comment Text Char"/>
    <w:basedOn w:val="DefaultParagraphFont"/>
    <w:link w:val="CommentText"/>
    <w:uiPriority w:val="99"/>
    <w:rsid w:val="002063D4"/>
    <w:rPr>
      <w:sz w:val="20"/>
      <w:szCs w:val="20"/>
    </w:rPr>
  </w:style>
  <w:style w:type="paragraph" w:styleId="CommentSubject">
    <w:name w:val="annotation subject"/>
    <w:basedOn w:val="CommentText"/>
    <w:next w:val="CommentText"/>
    <w:link w:val="CommentSubjectChar"/>
    <w:uiPriority w:val="99"/>
    <w:semiHidden/>
    <w:unhideWhenUsed/>
    <w:rsid w:val="002063D4"/>
    <w:rPr>
      <w:b/>
      <w:bCs/>
    </w:rPr>
  </w:style>
  <w:style w:type="character" w:customStyle="1" w:styleId="CommentSubjectChar">
    <w:name w:val="Comment Subject Char"/>
    <w:basedOn w:val="CommentTextChar"/>
    <w:link w:val="CommentSubject"/>
    <w:uiPriority w:val="99"/>
    <w:semiHidden/>
    <w:rsid w:val="002063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22496">
      <w:bodyDiv w:val="1"/>
      <w:marLeft w:val="0"/>
      <w:marRight w:val="0"/>
      <w:marTop w:val="0"/>
      <w:marBottom w:val="0"/>
      <w:divBdr>
        <w:top w:val="none" w:sz="0" w:space="0" w:color="auto"/>
        <w:left w:val="none" w:sz="0" w:space="0" w:color="auto"/>
        <w:bottom w:val="none" w:sz="0" w:space="0" w:color="auto"/>
        <w:right w:val="none" w:sz="0" w:space="0" w:color="auto"/>
      </w:divBdr>
    </w:div>
    <w:div w:id="281040731">
      <w:bodyDiv w:val="1"/>
      <w:marLeft w:val="0"/>
      <w:marRight w:val="0"/>
      <w:marTop w:val="0"/>
      <w:marBottom w:val="0"/>
      <w:divBdr>
        <w:top w:val="none" w:sz="0" w:space="0" w:color="auto"/>
        <w:left w:val="none" w:sz="0" w:space="0" w:color="auto"/>
        <w:bottom w:val="none" w:sz="0" w:space="0" w:color="auto"/>
        <w:right w:val="none" w:sz="0" w:space="0" w:color="auto"/>
      </w:divBdr>
    </w:div>
    <w:div w:id="316883582">
      <w:bodyDiv w:val="1"/>
      <w:marLeft w:val="0"/>
      <w:marRight w:val="0"/>
      <w:marTop w:val="0"/>
      <w:marBottom w:val="0"/>
      <w:divBdr>
        <w:top w:val="none" w:sz="0" w:space="0" w:color="auto"/>
        <w:left w:val="none" w:sz="0" w:space="0" w:color="auto"/>
        <w:bottom w:val="none" w:sz="0" w:space="0" w:color="auto"/>
        <w:right w:val="none" w:sz="0" w:space="0" w:color="auto"/>
      </w:divBdr>
      <w:divsChild>
        <w:div w:id="926578603">
          <w:marLeft w:val="0"/>
          <w:marRight w:val="0"/>
          <w:marTop w:val="0"/>
          <w:marBottom w:val="0"/>
          <w:divBdr>
            <w:top w:val="none" w:sz="0" w:space="0" w:color="auto"/>
            <w:left w:val="none" w:sz="0" w:space="0" w:color="auto"/>
            <w:bottom w:val="none" w:sz="0" w:space="0" w:color="auto"/>
            <w:right w:val="none" w:sz="0" w:space="0" w:color="auto"/>
          </w:divBdr>
        </w:div>
      </w:divsChild>
    </w:div>
    <w:div w:id="327288495">
      <w:bodyDiv w:val="1"/>
      <w:marLeft w:val="0"/>
      <w:marRight w:val="0"/>
      <w:marTop w:val="0"/>
      <w:marBottom w:val="0"/>
      <w:divBdr>
        <w:top w:val="none" w:sz="0" w:space="0" w:color="auto"/>
        <w:left w:val="none" w:sz="0" w:space="0" w:color="auto"/>
        <w:bottom w:val="none" w:sz="0" w:space="0" w:color="auto"/>
        <w:right w:val="none" w:sz="0" w:space="0" w:color="auto"/>
      </w:divBdr>
    </w:div>
    <w:div w:id="560822817">
      <w:bodyDiv w:val="1"/>
      <w:marLeft w:val="0"/>
      <w:marRight w:val="0"/>
      <w:marTop w:val="0"/>
      <w:marBottom w:val="0"/>
      <w:divBdr>
        <w:top w:val="none" w:sz="0" w:space="0" w:color="auto"/>
        <w:left w:val="none" w:sz="0" w:space="0" w:color="auto"/>
        <w:bottom w:val="none" w:sz="0" w:space="0" w:color="auto"/>
        <w:right w:val="none" w:sz="0" w:space="0" w:color="auto"/>
      </w:divBdr>
    </w:div>
    <w:div w:id="590625711">
      <w:bodyDiv w:val="1"/>
      <w:marLeft w:val="0"/>
      <w:marRight w:val="0"/>
      <w:marTop w:val="0"/>
      <w:marBottom w:val="0"/>
      <w:divBdr>
        <w:top w:val="none" w:sz="0" w:space="0" w:color="auto"/>
        <w:left w:val="none" w:sz="0" w:space="0" w:color="auto"/>
        <w:bottom w:val="none" w:sz="0" w:space="0" w:color="auto"/>
        <w:right w:val="none" w:sz="0" w:space="0" w:color="auto"/>
      </w:divBdr>
      <w:divsChild>
        <w:div w:id="2143187056">
          <w:marLeft w:val="0"/>
          <w:marRight w:val="0"/>
          <w:marTop w:val="0"/>
          <w:marBottom w:val="0"/>
          <w:divBdr>
            <w:top w:val="none" w:sz="0" w:space="0" w:color="auto"/>
            <w:left w:val="none" w:sz="0" w:space="0" w:color="auto"/>
            <w:bottom w:val="none" w:sz="0" w:space="0" w:color="auto"/>
            <w:right w:val="none" w:sz="0" w:space="0" w:color="auto"/>
          </w:divBdr>
        </w:div>
      </w:divsChild>
    </w:div>
    <w:div w:id="1163743682">
      <w:bodyDiv w:val="1"/>
      <w:marLeft w:val="0"/>
      <w:marRight w:val="0"/>
      <w:marTop w:val="0"/>
      <w:marBottom w:val="0"/>
      <w:divBdr>
        <w:top w:val="none" w:sz="0" w:space="0" w:color="auto"/>
        <w:left w:val="none" w:sz="0" w:space="0" w:color="auto"/>
        <w:bottom w:val="none" w:sz="0" w:space="0" w:color="auto"/>
        <w:right w:val="none" w:sz="0" w:space="0" w:color="auto"/>
      </w:divBdr>
      <w:divsChild>
        <w:div w:id="1784887365">
          <w:marLeft w:val="0"/>
          <w:marRight w:val="0"/>
          <w:marTop w:val="0"/>
          <w:marBottom w:val="0"/>
          <w:divBdr>
            <w:top w:val="none" w:sz="0" w:space="0" w:color="auto"/>
            <w:left w:val="none" w:sz="0" w:space="0" w:color="auto"/>
            <w:bottom w:val="none" w:sz="0" w:space="0" w:color="auto"/>
            <w:right w:val="none" w:sz="0" w:space="0" w:color="auto"/>
          </w:divBdr>
        </w:div>
      </w:divsChild>
    </w:div>
    <w:div w:id="1360468760">
      <w:bodyDiv w:val="1"/>
      <w:marLeft w:val="0"/>
      <w:marRight w:val="0"/>
      <w:marTop w:val="0"/>
      <w:marBottom w:val="0"/>
      <w:divBdr>
        <w:top w:val="none" w:sz="0" w:space="0" w:color="auto"/>
        <w:left w:val="none" w:sz="0" w:space="0" w:color="auto"/>
        <w:bottom w:val="none" w:sz="0" w:space="0" w:color="auto"/>
        <w:right w:val="none" w:sz="0" w:space="0" w:color="auto"/>
      </w:divBdr>
    </w:div>
    <w:div w:id="1479877913">
      <w:bodyDiv w:val="1"/>
      <w:marLeft w:val="0"/>
      <w:marRight w:val="0"/>
      <w:marTop w:val="0"/>
      <w:marBottom w:val="0"/>
      <w:divBdr>
        <w:top w:val="none" w:sz="0" w:space="0" w:color="auto"/>
        <w:left w:val="none" w:sz="0" w:space="0" w:color="auto"/>
        <w:bottom w:val="none" w:sz="0" w:space="0" w:color="auto"/>
        <w:right w:val="none" w:sz="0" w:space="0" w:color="auto"/>
      </w:divBdr>
      <w:divsChild>
        <w:div w:id="1898936684">
          <w:marLeft w:val="0"/>
          <w:marRight w:val="0"/>
          <w:marTop w:val="0"/>
          <w:marBottom w:val="0"/>
          <w:divBdr>
            <w:top w:val="none" w:sz="0" w:space="0" w:color="auto"/>
            <w:left w:val="none" w:sz="0" w:space="0" w:color="auto"/>
            <w:bottom w:val="none" w:sz="0" w:space="0" w:color="auto"/>
            <w:right w:val="none" w:sz="0" w:space="0" w:color="auto"/>
          </w:divBdr>
        </w:div>
      </w:divsChild>
    </w:div>
    <w:div w:id="1695378704">
      <w:bodyDiv w:val="1"/>
      <w:marLeft w:val="0"/>
      <w:marRight w:val="0"/>
      <w:marTop w:val="0"/>
      <w:marBottom w:val="0"/>
      <w:divBdr>
        <w:top w:val="none" w:sz="0" w:space="0" w:color="auto"/>
        <w:left w:val="none" w:sz="0" w:space="0" w:color="auto"/>
        <w:bottom w:val="none" w:sz="0" w:space="0" w:color="auto"/>
        <w:right w:val="none" w:sz="0" w:space="0" w:color="auto"/>
      </w:divBdr>
    </w:div>
    <w:div w:id="184667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courttrader.co.uk/money-talk/money-talk-when-the-diesel-pumps-run-dry/717315.artic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ore.lumina-intelligence.com/product/uk-forecourt-market-report-20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ricocastrillo@lumina-intelligence.co.uk" TargetMode="External"/><Relationship Id="rId11" Type="http://schemas.openxmlformats.org/officeDocument/2006/relationships/hyperlink" Target="https://www.lumina-intelligence.com/" TargetMode="External"/><Relationship Id="rId5" Type="http://schemas.openxmlformats.org/officeDocument/2006/relationships/image" Target="media/image1.png"/><Relationship Id="rId10" Type="http://schemas.openxmlformats.org/officeDocument/2006/relationships/hyperlink" Target="https://www.lumina-intelligence.com/" TargetMode="External"/><Relationship Id="rId4" Type="http://schemas.openxmlformats.org/officeDocument/2006/relationships/webSettings" Target="webSettings.xml"/><Relationship Id="rId9" Type="http://schemas.openxmlformats.org/officeDocument/2006/relationships/hyperlink" Target="https://store.lumina-intelligence.com/product/uk-forecourt-market-repor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1262</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3</cp:revision>
  <dcterms:created xsi:type="dcterms:W3CDTF">2026-04-09T13:10:00Z</dcterms:created>
  <dcterms:modified xsi:type="dcterms:W3CDTF">2026-04-09T13:11:00Z</dcterms:modified>
</cp:coreProperties>
</file>