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0100EE12">
            <wp:simplePos x="0" y="0"/>
            <wp:positionH relativeFrom="margin">
              <wp:posOffset>4574540</wp:posOffset>
            </wp:positionH>
            <wp:positionV relativeFrom="paragraph">
              <wp:posOffset>9525</wp:posOffset>
            </wp:positionV>
            <wp:extent cx="1487805" cy="723900"/>
            <wp:effectExtent l="0" t="0" r="0" b="0"/>
            <wp:wrapTight wrapText="bothSides">
              <wp:wrapPolygon edited="0">
                <wp:start x="0" y="0"/>
                <wp:lineTo x="0" y="19895"/>
                <wp:lineTo x="7191" y="21032"/>
                <wp:lineTo x="9680" y="21032"/>
                <wp:lineTo x="14105" y="21032"/>
                <wp:lineTo x="17977" y="19895"/>
                <wp:lineTo x="17700" y="18189"/>
                <wp:lineTo x="21296" y="11368"/>
                <wp:lineTo x="21296" y="1705"/>
                <wp:lineTo x="138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72390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483F3CB2" w:rsidR="00E86F6E" w:rsidRDefault="00EF16C6"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1</w:t>
      </w:r>
      <w:r w:rsidR="001D70F3">
        <w:rPr>
          <w:rFonts w:asciiTheme="majorHAnsi" w:hAnsiTheme="majorHAnsi" w:cstheme="majorHAnsi"/>
          <w:b/>
          <w:bCs/>
          <w:sz w:val="20"/>
          <w:szCs w:val="20"/>
          <w:u w:val="single"/>
        </w:rPr>
        <w:t>5</w:t>
      </w:r>
      <w:r w:rsidR="0095781C">
        <w:rPr>
          <w:rFonts w:asciiTheme="majorHAnsi" w:hAnsiTheme="majorHAnsi" w:cstheme="majorHAnsi"/>
          <w:b/>
          <w:bCs/>
          <w:sz w:val="20"/>
          <w:szCs w:val="20"/>
          <w:u w:val="single"/>
        </w:rPr>
        <w:t xml:space="preserve"> </w:t>
      </w:r>
      <w:r w:rsidR="001D70F3">
        <w:rPr>
          <w:rFonts w:asciiTheme="majorHAnsi" w:hAnsiTheme="majorHAnsi" w:cstheme="majorHAnsi"/>
          <w:b/>
          <w:bCs/>
          <w:sz w:val="20"/>
          <w:szCs w:val="20"/>
          <w:u w:val="single"/>
        </w:rPr>
        <w:t>April</w:t>
      </w:r>
      <w:r w:rsidR="00F94CFA">
        <w:rPr>
          <w:rFonts w:asciiTheme="majorHAnsi" w:hAnsiTheme="majorHAnsi" w:cstheme="majorHAnsi"/>
          <w:b/>
          <w:bCs/>
          <w:sz w:val="20"/>
          <w:szCs w:val="20"/>
          <w:u w:val="single"/>
        </w:rPr>
        <w:t xml:space="preserve"> 2026</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3F2B0B60" w14:textId="77777777" w:rsidR="00B442E0" w:rsidRDefault="00B442E0" w:rsidP="00EF16C6">
      <w:pPr>
        <w:rPr>
          <w:rFonts w:asciiTheme="majorHAnsi" w:eastAsiaTheme="majorEastAsia" w:hAnsiTheme="majorHAnsi" w:cstheme="majorBidi"/>
          <w:b/>
          <w:bCs/>
          <w:sz w:val="32"/>
          <w:szCs w:val="32"/>
        </w:rPr>
      </w:pPr>
      <w:r w:rsidRPr="00B442E0">
        <w:rPr>
          <w:rFonts w:asciiTheme="majorHAnsi" w:eastAsiaTheme="majorEastAsia" w:hAnsiTheme="majorHAnsi" w:cstheme="majorBidi"/>
          <w:b/>
          <w:bCs/>
          <w:sz w:val="32"/>
          <w:szCs w:val="32"/>
        </w:rPr>
        <w:t>UK Eating Out Market Shrinks, but Intentional Diners Drive Opportunity</w:t>
      </w:r>
    </w:p>
    <w:p w14:paraId="665DC161" w14:textId="77777777" w:rsidR="001D70F3" w:rsidRDefault="001D70F3" w:rsidP="00B442E0">
      <w:pPr>
        <w:rPr>
          <w:rFonts w:asciiTheme="majorHAnsi" w:eastAsiaTheme="majorEastAsia" w:hAnsiTheme="majorHAnsi" w:cstheme="majorBidi"/>
          <w:b/>
          <w:bCs/>
          <w:sz w:val="32"/>
          <w:szCs w:val="32"/>
        </w:rPr>
      </w:pPr>
    </w:p>
    <w:p w14:paraId="4C105C76" w14:textId="27403C80" w:rsidR="00B442E0" w:rsidRPr="00B442E0" w:rsidRDefault="00B442E0" w:rsidP="00B442E0">
      <w:r w:rsidRPr="00B442E0">
        <w:t xml:space="preserve">New consumer data from Lumina </w:t>
      </w:r>
      <w:r>
        <w:t>Intelligence</w:t>
      </w:r>
      <w:r>
        <w:t xml:space="preserve"> r</w:t>
      </w:r>
      <w:r w:rsidRPr="00B442E0">
        <w:t>eveals a more focused UK eating</w:t>
      </w:r>
      <w:r w:rsidRPr="00B442E0">
        <w:noBreakHyphen/>
        <w:t>out market, with participation declining but remaining consumers visiting more often. As confidence weakens amid global uncertainty and cost pressures, growth opportunities are shifting from volume to winning greater share of spend.</w:t>
      </w:r>
    </w:p>
    <w:p w14:paraId="2AB7F049" w14:textId="19151005" w:rsidR="00B442E0" w:rsidRPr="00B442E0" w:rsidRDefault="00B442E0" w:rsidP="00B442E0">
      <w:r w:rsidRPr="00B442E0">
        <w:t xml:space="preserve">Latest insights from Lumina Intelligence’s </w:t>
      </w:r>
      <w:hyperlink r:id="rId10" w:history="1">
        <w:r w:rsidRPr="007B24B8">
          <w:rPr>
            <w:rStyle w:val="Hyperlink"/>
            <w:rFonts w:asciiTheme="majorHAnsi" w:eastAsiaTheme="majorEastAsia" w:hAnsiTheme="majorHAnsi" w:cstheme="majorBidi"/>
          </w:rPr>
          <w:t>Eating and Drinking Out Panel</w:t>
        </w:r>
      </w:hyperlink>
      <w:r>
        <w:t xml:space="preserve"> </w:t>
      </w:r>
      <w:r w:rsidRPr="00F94CFA">
        <w:rPr>
          <w:b/>
          <w:bCs/>
        </w:rPr>
        <w:t xml:space="preserve">(EDOP) </w:t>
      </w:r>
      <w:r w:rsidRPr="00B442E0">
        <w:t>show eating</w:t>
      </w:r>
      <w:r w:rsidRPr="00B442E0">
        <w:noBreakHyphen/>
        <w:t>out participation fell sharply year on year (-7.1%), as consumer confidence reached a 12</w:t>
      </w:r>
      <w:r w:rsidRPr="00B442E0">
        <w:noBreakHyphen/>
        <w:t>month low. Despite fewer consumers engaging with the market, those who continue to eat out are doing so more frequently, resulting in a smaller but more intentional audience.</w:t>
      </w:r>
    </w:p>
    <w:p w14:paraId="6D89FD0E" w14:textId="32382574" w:rsidR="00B442E0" w:rsidRPr="00B442E0" w:rsidRDefault="00B442E0" w:rsidP="00B442E0">
      <w:r w:rsidRPr="00B442E0">
        <w:t xml:space="preserve">“At a time of heightened economic and geopolitical uncertainty, consumers are being far more selective about when and where they eat out,” said </w:t>
      </w:r>
      <w:r>
        <w:t>Linda Haden, Insight Lead</w:t>
      </w:r>
      <w:r w:rsidRPr="00B442E0">
        <w:t xml:space="preserve"> at Lumina Intelligence. “This is creating opportunities for operators to focus on share growth by targeting committed, higher</w:t>
      </w:r>
      <w:r w:rsidRPr="00B442E0">
        <w:noBreakHyphen/>
        <w:t>frequency customers rather than relying on overall market expansion.”</w:t>
      </w:r>
    </w:p>
    <w:p w14:paraId="61BDE870" w14:textId="77777777" w:rsidR="00B442E0" w:rsidRPr="00B442E0" w:rsidRDefault="00B442E0" w:rsidP="00B442E0">
      <w:r w:rsidRPr="00B442E0">
        <w:t>The data also highlights clear evidence of consumers trading down rather than switching off. Spend growth is lagging inflation, signalling a real</w:t>
      </w:r>
      <w:r w:rsidRPr="00B442E0">
        <w:noBreakHyphen/>
        <w:t>terms contraction, as consumers reduce discretionary extras while continuing to purchase familiar, affordable options. Clear value messaging, simple propositions and price reassurance are increasingly critical in influencing choice.</w:t>
      </w:r>
    </w:p>
    <w:p w14:paraId="06A34208" w14:textId="6F6CE5E7" w:rsidR="00EF16C6" w:rsidRDefault="00B442E0" w:rsidP="004E55EE">
      <w:r w:rsidRPr="00B442E0">
        <w:t>Comfort and familiarity are shaping food and drink decisions. Chips, chicken and pizza continue to gain momentum as trusted, value</w:t>
      </w:r>
      <w:r w:rsidRPr="00B442E0">
        <w:noBreakHyphen/>
        <w:t>led staples. At the same time, coffee shops and pubs are benefiting from growth in drink</w:t>
      </w:r>
      <w:r w:rsidRPr="00B442E0">
        <w:noBreakHyphen/>
        <w:t>only and lunchtime visits, supported by warmer weather and lower</w:t>
      </w:r>
      <w:r w:rsidRPr="00B442E0">
        <w:noBreakHyphen/>
        <w:t>commitment occasions that help drive frequency without relying on full meal visits.</w:t>
      </w:r>
    </w:p>
    <w:p w14:paraId="4973E93B" w14:textId="77777777" w:rsidR="001D70F3" w:rsidRPr="004E55EE" w:rsidRDefault="001D70F3"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lastRenderedPageBreak/>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43AAF"/>
    <w:rsid w:val="0005697A"/>
    <w:rsid w:val="0005722F"/>
    <w:rsid w:val="000741EA"/>
    <w:rsid w:val="001332E1"/>
    <w:rsid w:val="00141CF3"/>
    <w:rsid w:val="001A4CBF"/>
    <w:rsid w:val="001D70F3"/>
    <w:rsid w:val="001E269C"/>
    <w:rsid w:val="001F1B6B"/>
    <w:rsid w:val="00220325"/>
    <w:rsid w:val="00224205"/>
    <w:rsid w:val="002862EF"/>
    <w:rsid w:val="002D1466"/>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9527F"/>
    <w:rsid w:val="005F3169"/>
    <w:rsid w:val="0061386C"/>
    <w:rsid w:val="006302EF"/>
    <w:rsid w:val="00645C76"/>
    <w:rsid w:val="00653930"/>
    <w:rsid w:val="0069146D"/>
    <w:rsid w:val="006A0774"/>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5781C"/>
    <w:rsid w:val="00970A3C"/>
    <w:rsid w:val="009724BC"/>
    <w:rsid w:val="009740ED"/>
    <w:rsid w:val="0098585D"/>
    <w:rsid w:val="009B4215"/>
    <w:rsid w:val="00A0427B"/>
    <w:rsid w:val="00A35DB9"/>
    <w:rsid w:val="00A503FD"/>
    <w:rsid w:val="00A94FC0"/>
    <w:rsid w:val="00AC40C1"/>
    <w:rsid w:val="00B25CB6"/>
    <w:rsid w:val="00B442E0"/>
    <w:rsid w:val="00B75F5E"/>
    <w:rsid w:val="00BE3B0B"/>
    <w:rsid w:val="00C22C33"/>
    <w:rsid w:val="00C318FA"/>
    <w:rsid w:val="00C370E6"/>
    <w:rsid w:val="00C4590E"/>
    <w:rsid w:val="00C7385B"/>
    <w:rsid w:val="00CF388F"/>
    <w:rsid w:val="00D21343"/>
    <w:rsid w:val="00D259BD"/>
    <w:rsid w:val="00DB5B70"/>
    <w:rsid w:val="00E069E8"/>
    <w:rsid w:val="00E135AE"/>
    <w:rsid w:val="00E465FF"/>
    <w:rsid w:val="00E53B5E"/>
    <w:rsid w:val="00E67F87"/>
    <w:rsid w:val="00E86F6E"/>
    <w:rsid w:val="00ED2641"/>
    <w:rsid w:val="00EE25EC"/>
    <w:rsid w:val="00EF0656"/>
    <w:rsid w:val="00EF16C6"/>
    <w:rsid w:val="00EF26A3"/>
    <w:rsid w:val="00F24DEE"/>
    <w:rsid w:val="00F356D1"/>
    <w:rsid w:val="00F437B3"/>
    <w:rsid w:val="00F558FA"/>
    <w:rsid w:val="00F94C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58737385">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21770477">
      <w:bodyDiv w:val="1"/>
      <w:marLeft w:val="0"/>
      <w:marRight w:val="0"/>
      <w:marTop w:val="0"/>
      <w:marBottom w:val="0"/>
      <w:divBdr>
        <w:top w:val="none" w:sz="0" w:space="0" w:color="auto"/>
        <w:left w:val="none" w:sz="0" w:space="0" w:color="auto"/>
        <w:bottom w:val="none" w:sz="0" w:space="0" w:color="auto"/>
        <w:right w:val="none" w:sz="0" w:space="0" w:color="auto"/>
      </w:divBdr>
      <w:divsChild>
        <w:div w:id="254557486">
          <w:marLeft w:val="0"/>
          <w:marRight w:val="0"/>
          <w:marTop w:val="0"/>
          <w:marBottom w:val="0"/>
          <w:divBdr>
            <w:top w:val="none" w:sz="0" w:space="0" w:color="auto"/>
            <w:left w:val="none" w:sz="0" w:space="0" w:color="auto"/>
            <w:bottom w:val="none" w:sz="0" w:space="0" w:color="auto"/>
            <w:right w:val="none" w:sz="0" w:space="0" w:color="auto"/>
          </w:divBdr>
        </w:div>
      </w:divsChild>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0879764">
      <w:bodyDiv w:val="1"/>
      <w:marLeft w:val="0"/>
      <w:marRight w:val="0"/>
      <w:marTop w:val="0"/>
      <w:marBottom w:val="0"/>
      <w:divBdr>
        <w:top w:val="none" w:sz="0" w:space="0" w:color="auto"/>
        <w:left w:val="none" w:sz="0" w:space="0" w:color="auto"/>
        <w:bottom w:val="none" w:sz="0" w:space="0" w:color="auto"/>
        <w:right w:val="none" w:sz="0" w:space="0" w:color="auto"/>
      </w:divBdr>
      <w:divsChild>
        <w:div w:id="1659070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798185129">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078819838">
      <w:bodyDiv w:val="1"/>
      <w:marLeft w:val="0"/>
      <w:marRight w:val="0"/>
      <w:marTop w:val="0"/>
      <w:marBottom w:val="0"/>
      <w:divBdr>
        <w:top w:val="none" w:sz="0" w:space="0" w:color="auto"/>
        <w:left w:val="none" w:sz="0" w:space="0" w:color="auto"/>
        <w:bottom w:val="none" w:sz="0" w:space="0" w:color="auto"/>
        <w:right w:val="none" w:sz="0" w:space="0" w:color="auto"/>
      </w:divBdr>
    </w:div>
    <w:div w:id="1226641364">
      <w:bodyDiv w:val="1"/>
      <w:marLeft w:val="0"/>
      <w:marRight w:val="0"/>
      <w:marTop w:val="0"/>
      <w:marBottom w:val="0"/>
      <w:divBdr>
        <w:top w:val="none" w:sz="0" w:space="0" w:color="auto"/>
        <w:left w:val="none" w:sz="0" w:space="0" w:color="auto"/>
        <w:bottom w:val="none" w:sz="0" w:space="0" w:color="auto"/>
        <w:right w:val="none" w:sz="0" w:space="0" w:color="auto"/>
      </w:divBdr>
      <w:divsChild>
        <w:div w:id="192652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331177">
      <w:bodyDiv w:val="1"/>
      <w:marLeft w:val="0"/>
      <w:marRight w:val="0"/>
      <w:marTop w:val="0"/>
      <w:marBottom w:val="0"/>
      <w:divBdr>
        <w:top w:val="none" w:sz="0" w:space="0" w:color="auto"/>
        <w:left w:val="none" w:sz="0" w:space="0" w:color="auto"/>
        <w:bottom w:val="none" w:sz="0" w:space="0" w:color="auto"/>
        <w:right w:val="none" w:sz="0" w:space="0" w:color="auto"/>
      </w:divBdr>
      <w:divsChild>
        <w:div w:id="1881549405">
          <w:marLeft w:val="0"/>
          <w:marRight w:val="0"/>
          <w:marTop w:val="0"/>
          <w:marBottom w:val="0"/>
          <w:divBdr>
            <w:top w:val="none" w:sz="0" w:space="0" w:color="auto"/>
            <w:left w:val="none" w:sz="0" w:space="0" w:color="auto"/>
            <w:bottom w:val="none" w:sz="0" w:space="0" w:color="auto"/>
            <w:right w:val="none" w:sz="0" w:space="0" w:color="auto"/>
          </w:divBdr>
        </w:div>
      </w:divsChild>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346250119">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447693118">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45758495">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1994405087">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Props1.xml><?xml version="1.0" encoding="utf-8"?>
<ds:datastoreItem xmlns:ds="http://schemas.openxmlformats.org/officeDocument/2006/customXml" ds:itemID="{3345D18D-638B-4C1C-8568-B27DCF730C50}">
  <ds:schemaRefs>
    <ds:schemaRef ds:uri="http://schemas.microsoft.com/sharepoint/v3/contenttype/forms"/>
  </ds:schemaRefs>
</ds:datastoreItem>
</file>

<file path=customXml/itemProps2.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2026-04-15T09:25:00Z</dcterms:created>
  <dcterms:modified xsi:type="dcterms:W3CDTF">2026-04-15T09:25:00Z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