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729B7BB9">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3687D4F4"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Monica Rico</w:t>
      </w:r>
    </w:p>
    <w:p w14:paraId="553A8214" w14:textId="004D0D6A"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07423555808</w:t>
      </w:r>
    </w:p>
    <w:p w14:paraId="452AC616" w14:textId="317D67E0" w:rsidR="00ED3ABD" w:rsidRPr="00550B08" w:rsidRDefault="001B2C2A" w:rsidP="00ED3ABD">
      <w:pPr>
        <w:spacing w:after="0" w:line="240" w:lineRule="auto"/>
        <w:rPr>
          <w:rStyle w:val="Hyperlink"/>
          <w:rFonts w:ascii="Arial" w:hAnsi="Arial" w:cs="Arial"/>
          <w:color w:val="505050"/>
          <w:sz w:val="18"/>
          <w:szCs w:val="18"/>
        </w:rPr>
      </w:pPr>
      <w:hyperlink r:id="rId6" w:history="1">
        <w:r w:rsidRPr="0075254E">
          <w:rPr>
            <w:rStyle w:val="Hyperlink"/>
            <w:rFonts w:ascii="Arial" w:hAnsi="Arial" w:cs="Arial"/>
            <w:b/>
            <w:bCs/>
            <w:sz w:val="18"/>
            <w:szCs w:val="18"/>
          </w:rPr>
          <w:t>monica.ricocastrillo@lumina-intelligence.com</w:t>
        </w:r>
      </w:hyperlink>
      <w:r>
        <w:rPr>
          <w:rFonts w:ascii="Arial" w:hAnsi="Arial" w:cs="Arial"/>
          <w:b/>
          <w:bCs/>
          <w:sz w:val="18"/>
          <w:szCs w:val="18"/>
        </w:rPr>
        <w:tab/>
      </w:r>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71B16121" w:rsidR="00ED3ABD" w:rsidRPr="00550B08" w:rsidRDefault="00CA3A84"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21</w:t>
      </w:r>
      <w:r w:rsidR="00A2582F">
        <w:rPr>
          <w:rStyle w:val="Hyperlink"/>
          <w:rFonts w:ascii="Arial" w:hAnsi="Arial" w:cs="Arial"/>
          <w:b/>
          <w:bCs/>
          <w:color w:val="505050"/>
          <w:sz w:val="18"/>
          <w:szCs w:val="18"/>
          <w:u w:val="none"/>
        </w:rPr>
        <w:t xml:space="preserve"> </w:t>
      </w:r>
      <w:r>
        <w:rPr>
          <w:rStyle w:val="Hyperlink"/>
          <w:rFonts w:ascii="Arial" w:hAnsi="Arial" w:cs="Arial"/>
          <w:b/>
          <w:bCs/>
          <w:color w:val="505050"/>
          <w:sz w:val="18"/>
          <w:szCs w:val="18"/>
          <w:u w:val="none"/>
        </w:rPr>
        <w:t>April</w:t>
      </w:r>
      <w:r w:rsidR="00A2582F">
        <w:rPr>
          <w:rStyle w:val="Hyperlink"/>
          <w:rFonts w:ascii="Arial" w:hAnsi="Arial" w:cs="Arial"/>
          <w:b/>
          <w:bCs/>
          <w:color w:val="505050"/>
          <w:sz w:val="18"/>
          <w:szCs w:val="18"/>
          <w:u w:val="none"/>
        </w:rPr>
        <w:t xml:space="preserve"> 202</w:t>
      </w:r>
      <w:r>
        <w:rPr>
          <w:rStyle w:val="Hyperlink"/>
          <w:rFonts w:ascii="Arial" w:hAnsi="Arial" w:cs="Arial"/>
          <w:b/>
          <w:bCs/>
          <w:color w:val="505050"/>
          <w:sz w:val="18"/>
          <w:szCs w:val="18"/>
          <w:u w:val="none"/>
        </w:rPr>
        <w:t>6</w:t>
      </w:r>
    </w:p>
    <w:p w14:paraId="74BC0C7C" w14:textId="77777777" w:rsidR="009400D0" w:rsidRPr="009400D0" w:rsidRDefault="009400D0" w:rsidP="009400D0">
      <w:pPr>
        <w:rPr>
          <w:rFonts w:ascii="Arial" w:hAnsi="Arial" w:cs="Arial"/>
          <w:b/>
          <w:bCs/>
          <w:sz w:val="32"/>
          <w:szCs w:val="32"/>
        </w:rPr>
      </w:pPr>
    </w:p>
    <w:p w14:paraId="1B489F4A" w14:textId="77777777" w:rsidR="00CA3A84" w:rsidRDefault="00CA3A84" w:rsidP="007A270E">
      <w:pPr>
        <w:rPr>
          <w:rFonts w:ascii="Arial" w:hAnsi="Arial" w:cs="Arial"/>
          <w:b/>
          <w:bCs/>
          <w:sz w:val="28"/>
          <w:szCs w:val="28"/>
        </w:rPr>
      </w:pPr>
      <w:r w:rsidRPr="00CA3A84">
        <w:rPr>
          <w:rFonts w:ascii="Arial" w:hAnsi="Arial" w:cs="Arial"/>
          <w:b/>
          <w:bCs/>
          <w:sz w:val="28"/>
          <w:szCs w:val="28"/>
        </w:rPr>
        <w:t>Value Discipline Reshapes Convenience Shopping in Q1 2026, Lumina Intelligence Reveals</w:t>
      </w:r>
    </w:p>
    <w:p w14:paraId="41C28DCF" w14:textId="7AD1A30E" w:rsidR="00CA3A84" w:rsidRPr="00CA3A84" w:rsidRDefault="00CA3A84" w:rsidP="00CA3A84">
      <w:pPr>
        <w:rPr>
          <w:rFonts w:ascii="Arial" w:hAnsi="Arial" w:cs="Arial"/>
        </w:rPr>
      </w:pPr>
      <w:r w:rsidRPr="00CA3A84">
        <w:rPr>
          <w:rFonts w:ascii="Arial" w:hAnsi="Arial" w:cs="Arial"/>
        </w:rPr>
        <w:t xml:space="preserve">UK convenience shopping evolved into a more deliberate and value-led experience in the first quarter of 2026, according to new findings from Lumina Intelligence’s </w:t>
      </w:r>
      <w:hyperlink r:id="rId7" w:history="1">
        <w:r w:rsidRPr="00CA3A84">
          <w:rPr>
            <w:rStyle w:val="Hyperlink"/>
            <w:rFonts w:ascii="Arial" w:hAnsi="Arial" w:cs="Arial"/>
          </w:rPr>
          <w:t>Convenience Tracking Programme</w:t>
        </w:r>
      </w:hyperlink>
      <w:r w:rsidRPr="00CA3A84">
        <w:t xml:space="preserve"> </w:t>
      </w:r>
      <w:r w:rsidRPr="00CA3A84">
        <w:rPr>
          <w:rFonts w:ascii="Arial" w:hAnsi="Arial" w:cs="Arial"/>
        </w:rPr>
        <w:t>(CTP).</w:t>
      </w:r>
    </w:p>
    <w:p w14:paraId="5FC70B00" w14:textId="77777777" w:rsidR="00CA3A84" w:rsidRPr="00CA3A84" w:rsidRDefault="00CA3A84" w:rsidP="00CA3A84">
      <w:pPr>
        <w:rPr>
          <w:rFonts w:ascii="Arial" w:hAnsi="Arial" w:cs="Arial"/>
        </w:rPr>
      </w:pPr>
      <w:r w:rsidRPr="00CA3A84">
        <w:rPr>
          <w:rFonts w:ascii="Arial" w:hAnsi="Arial" w:cs="Arial"/>
        </w:rPr>
        <w:t>Covering the 13 weeks to 29 March 2026, the latest report shows that while convenience penetration and trip frequency remain resilient, shoppers are tightening budgets, leading to softer average spend, declining impulse behaviour and reduced promotional uptake.</w:t>
      </w:r>
    </w:p>
    <w:p w14:paraId="71FDDFCE" w14:textId="77777777" w:rsidR="00CA3A84" w:rsidRPr="00CA3A84" w:rsidRDefault="00CA3A84" w:rsidP="00CA3A84">
      <w:pPr>
        <w:rPr>
          <w:rFonts w:ascii="Arial" w:hAnsi="Arial" w:cs="Arial"/>
          <w:b/>
          <w:bCs/>
        </w:rPr>
      </w:pPr>
      <w:r w:rsidRPr="00CA3A84">
        <w:rPr>
          <w:rFonts w:ascii="Arial" w:hAnsi="Arial" w:cs="Arial"/>
          <w:b/>
          <w:bCs/>
        </w:rPr>
        <w:t>Post-festive reset drives more considered shopping</w:t>
      </w:r>
    </w:p>
    <w:p w14:paraId="337FD5C0" w14:textId="77777777" w:rsidR="00CA3A84" w:rsidRPr="00CA3A84" w:rsidRDefault="00CA3A84" w:rsidP="00CA3A84">
      <w:pPr>
        <w:rPr>
          <w:rFonts w:ascii="Arial" w:hAnsi="Arial" w:cs="Arial"/>
        </w:rPr>
      </w:pPr>
      <w:r w:rsidRPr="00CA3A84">
        <w:rPr>
          <w:rFonts w:ascii="Arial" w:hAnsi="Arial" w:cs="Arial"/>
        </w:rPr>
        <w:t xml:space="preserve">Following the Christmas period, shoppers approached convenience with greater discipline, prioritising control over discretionary spending. Average </w:t>
      </w:r>
      <w:proofErr w:type="gramStart"/>
      <w:r w:rsidRPr="00CA3A84">
        <w:rPr>
          <w:rFonts w:ascii="Arial" w:hAnsi="Arial" w:cs="Arial"/>
        </w:rPr>
        <w:t>spend</w:t>
      </w:r>
      <w:proofErr w:type="gramEnd"/>
      <w:r w:rsidRPr="00CA3A84">
        <w:rPr>
          <w:rFonts w:ascii="Arial" w:hAnsi="Arial" w:cs="Arial"/>
        </w:rPr>
        <w:t xml:space="preserve"> dipped towards the end of the quarter, particularly among older and more value-conscious shoppers, despite visits remaining frequent.</w:t>
      </w:r>
    </w:p>
    <w:p w14:paraId="4A380097" w14:textId="77777777" w:rsidR="00CA3A84" w:rsidRPr="00CA3A84" w:rsidRDefault="00CA3A84" w:rsidP="00CA3A84">
      <w:pPr>
        <w:rPr>
          <w:rFonts w:ascii="Arial" w:hAnsi="Arial" w:cs="Arial"/>
        </w:rPr>
      </w:pPr>
      <w:r w:rsidRPr="00CA3A84">
        <w:rPr>
          <w:rFonts w:ascii="Arial" w:hAnsi="Arial" w:cs="Arial"/>
        </w:rPr>
        <w:t>Shoppers increasingly blended immediate consumption with planned in-home needs, reinforcing the importance of convenience stores across both food-to-go and household missions. Seasonal events, such as Mother’s Day, provided moments of uplift, supporting treat and gifting spend when aligned with clear value messaging.</w:t>
      </w:r>
    </w:p>
    <w:p w14:paraId="617B7287" w14:textId="77777777" w:rsidR="00CA3A84" w:rsidRPr="00CA3A84" w:rsidRDefault="00CA3A84" w:rsidP="00CA3A84">
      <w:pPr>
        <w:rPr>
          <w:rFonts w:ascii="Arial" w:hAnsi="Arial" w:cs="Arial"/>
          <w:b/>
          <w:bCs/>
        </w:rPr>
      </w:pPr>
      <w:r w:rsidRPr="00CA3A84">
        <w:rPr>
          <w:rFonts w:ascii="Arial" w:hAnsi="Arial" w:cs="Arial"/>
          <w:b/>
          <w:bCs/>
        </w:rPr>
        <w:t>Food-to-go remains central to convenience relevance</w:t>
      </w:r>
    </w:p>
    <w:p w14:paraId="57E57E6E" w14:textId="7F4DEC36" w:rsidR="00CA3A84" w:rsidRPr="00CA3A84" w:rsidRDefault="00CA3A84" w:rsidP="00CA3A84">
      <w:pPr>
        <w:rPr>
          <w:rFonts w:ascii="Arial" w:hAnsi="Arial" w:cs="Arial"/>
        </w:rPr>
      </w:pPr>
      <w:r w:rsidRPr="00CA3A84">
        <w:rPr>
          <w:rFonts w:ascii="Arial" w:hAnsi="Arial" w:cs="Arial"/>
        </w:rPr>
        <w:t xml:space="preserve">Food-to-go continues to dominate convenience missions, as shoppers seek lower-cost alternatives to eating out. Urban, younger shoppers showed </w:t>
      </w:r>
      <w:r w:rsidRPr="00CA3A84">
        <w:rPr>
          <w:rFonts w:ascii="Arial" w:hAnsi="Arial" w:cs="Arial"/>
        </w:rPr>
        <w:t>resilience</w:t>
      </w:r>
      <w:r w:rsidRPr="00CA3A84">
        <w:rPr>
          <w:rFonts w:ascii="Arial" w:hAnsi="Arial" w:cs="Arial"/>
        </w:rPr>
        <w:t>, remaining less price-sensitive and sustaining demand for on-the-go meals and drinks.</w:t>
      </w:r>
    </w:p>
    <w:p w14:paraId="1A30368D" w14:textId="77777777" w:rsidR="00CA3A84" w:rsidRPr="00CA3A84" w:rsidRDefault="00CA3A84" w:rsidP="00CA3A84">
      <w:pPr>
        <w:rPr>
          <w:rFonts w:ascii="Arial" w:hAnsi="Arial" w:cs="Arial"/>
        </w:rPr>
      </w:pPr>
      <w:r w:rsidRPr="00CA3A84">
        <w:rPr>
          <w:rFonts w:ascii="Arial" w:hAnsi="Arial" w:cs="Arial"/>
        </w:rPr>
        <w:t>Health-focused ranges also gained traction, particularly in January. Retailers responded by launching more nutrient-dense, portion-controlled options and ranges positioned for “smaller appetites,” aligning convenience with evolving shopper attitudes toward wellness rather than restriction.</w:t>
      </w:r>
    </w:p>
    <w:p w14:paraId="46A98AFA" w14:textId="77777777" w:rsidR="00CA3A84" w:rsidRPr="00CA3A84" w:rsidRDefault="00CA3A84" w:rsidP="00CA3A84">
      <w:pPr>
        <w:rPr>
          <w:rFonts w:ascii="Arial" w:hAnsi="Arial" w:cs="Arial"/>
          <w:b/>
          <w:bCs/>
        </w:rPr>
      </w:pPr>
      <w:r w:rsidRPr="00CA3A84">
        <w:rPr>
          <w:rFonts w:ascii="Arial" w:hAnsi="Arial" w:cs="Arial"/>
          <w:b/>
          <w:bCs/>
        </w:rPr>
        <w:t>Impulse, promotions and PMPs decline year-on-year</w:t>
      </w:r>
    </w:p>
    <w:p w14:paraId="714564CB" w14:textId="77777777" w:rsidR="00CA3A84" w:rsidRPr="00CA3A84" w:rsidRDefault="00CA3A84" w:rsidP="00CA3A84">
      <w:pPr>
        <w:rPr>
          <w:rFonts w:ascii="Arial" w:hAnsi="Arial" w:cs="Arial"/>
        </w:rPr>
      </w:pPr>
      <w:r w:rsidRPr="00CA3A84">
        <w:rPr>
          <w:rFonts w:ascii="Arial" w:hAnsi="Arial" w:cs="Arial"/>
        </w:rPr>
        <w:t>The report highlights a clear shift from spontaneity to selectivity. Impulse purchasing, promotional participation and price-marked pack (PMP) usage all declined year-on-year, with the sharpest drops seen in forecourts.</w:t>
      </w:r>
    </w:p>
    <w:p w14:paraId="0E38C6FF" w14:textId="77777777" w:rsidR="00CA3A84" w:rsidRPr="00CA3A84" w:rsidRDefault="00CA3A84" w:rsidP="00CA3A84">
      <w:pPr>
        <w:rPr>
          <w:rFonts w:ascii="Arial" w:hAnsi="Arial" w:cs="Arial"/>
        </w:rPr>
      </w:pPr>
      <w:r w:rsidRPr="00CA3A84">
        <w:rPr>
          <w:rFonts w:ascii="Arial" w:hAnsi="Arial" w:cs="Arial"/>
        </w:rPr>
        <w:t>Rather than deep promotions, retailers focused on everyday value, price reassurance and event-led merchandising, aiming to encourage considered trade-ups rather than unplanned add-on purchases. Declines in bread promotions, following strong Q4 activity, were a key factor in the overall reduction in promotional buying.</w:t>
      </w:r>
    </w:p>
    <w:p w14:paraId="490E7D0B" w14:textId="77777777" w:rsidR="00CA3A84" w:rsidRDefault="00CA3A84" w:rsidP="00FD155C">
      <w:pPr>
        <w:rPr>
          <w:rFonts w:ascii="Arial" w:hAnsi="Arial" w:cs="Arial"/>
          <w:b/>
          <w:bCs/>
          <w:sz w:val="20"/>
          <w:szCs w:val="20"/>
        </w:rPr>
      </w:pPr>
    </w:p>
    <w:p w14:paraId="6B2EB4F8" w14:textId="27783177" w:rsidR="00FD155C" w:rsidRPr="00CA3A84" w:rsidRDefault="00FD155C" w:rsidP="00FD155C">
      <w:pPr>
        <w:rPr>
          <w:rFonts w:ascii="Arial" w:hAnsi="Arial" w:cs="Arial"/>
        </w:rPr>
      </w:pPr>
      <w:r w:rsidRPr="00CA3A84">
        <w:rPr>
          <w:rFonts w:ascii="Arial" w:hAnsi="Arial" w:cs="Arial"/>
          <w:b/>
          <w:bCs/>
        </w:rPr>
        <w:t>ENDS</w:t>
      </w:r>
    </w:p>
    <w:p w14:paraId="2DC5233D" w14:textId="7EE5B200" w:rsidR="00ED3ABD" w:rsidRPr="00CA3A84" w:rsidRDefault="00ED3ABD">
      <w:pPr>
        <w:rPr>
          <w:rFonts w:ascii="Arial" w:hAnsi="Arial" w:cs="Arial"/>
        </w:rPr>
      </w:pPr>
    </w:p>
    <w:p w14:paraId="305D5469" w14:textId="02543D37" w:rsidR="00550B08" w:rsidRPr="00CA3A84" w:rsidRDefault="0054575C">
      <w:pPr>
        <w:rPr>
          <w:rFonts w:ascii="Arial" w:hAnsi="Arial" w:cs="Arial"/>
          <w:b/>
          <w:bCs/>
        </w:rPr>
      </w:pPr>
      <w:r w:rsidRPr="00CA3A84">
        <w:rPr>
          <w:rFonts w:ascii="Arial" w:hAnsi="Arial" w:cs="Arial"/>
          <w:b/>
          <w:bCs/>
        </w:rPr>
        <w:t>M</w:t>
      </w:r>
      <w:r w:rsidR="00550B08" w:rsidRPr="00CA3A84">
        <w:rPr>
          <w:rFonts w:ascii="Arial" w:hAnsi="Arial" w:cs="Arial"/>
          <w:b/>
          <w:bCs/>
        </w:rPr>
        <w:t>ethodology</w:t>
      </w:r>
    </w:p>
    <w:p w14:paraId="53A1BCF9" w14:textId="716E818A" w:rsidR="00030F84" w:rsidRPr="00CA3A84" w:rsidRDefault="00030F84" w:rsidP="008154D9">
      <w:pPr>
        <w:rPr>
          <w:rFonts w:ascii="Arial" w:hAnsi="Arial" w:cs="Arial"/>
        </w:rPr>
      </w:pPr>
      <w:r w:rsidRPr="00CA3A84">
        <w:rPr>
          <w:rFonts w:ascii="Arial" w:hAnsi="Arial" w:cs="Arial"/>
        </w:rPr>
        <w:t xml:space="preserve">The </w:t>
      </w:r>
      <w:hyperlink r:id="rId8" w:history="1">
        <w:r w:rsidRPr="00CA3A84">
          <w:rPr>
            <w:rStyle w:val="Hyperlink"/>
            <w:rFonts w:ascii="Arial" w:hAnsi="Arial" w:cs="Arial"/>
          </w:rPr>
          <w:t xml:space="preserve">Lumina Intelligence </w:t>
        </w:r>
        <w:r w:rsidR="0054575C" w:rsidRPr="00CA3A84">
          <w:rPr>
            <w:rStyle w:val="Hyperlink"/>
            <w:rFonts w:ascii="Arial" w:hAnsi="Arial" w:cs="Arial"/>
          </w:rPr>
          <w:t xml:space="preserve">Convenience </w:t>
        </w:r>
        <w:r w:rsidR="00897CB3" w:rsidRPr="00CA3A84">
          <w:rPr>
            <w:rStyle w:val="Hyperlink"/>
            <w:rFonts w:ascii="Arial" w:hAnsi="Arial" w:cs="Arial"/>
          </w:rPr>
          <w:t>Tracking</w:t>
        </w:r>
        <w:r w:rsidR="0054575C" w:rsidRPr="00CA3A84">
          <w:rPr>
            <w:rStyle w:val="Hyperlink"/>
            <w:rFonts w:ascii="Arial" w:hAnsi="Arial" w:cs="Arial"/>
          </w:rPr>
          <w:t xml:space="preserve"> </w:t>
        </w:r>
        <w:r w:rsidR="00537340" w:rsidRPr="00CA3A84">
          <w:rPr>
            <w:rStyle w:val="Hyperlink"/>
            <w:rFonts w:ascii="Arial" w:hAnsi="Arial" w:cs="Arial"/>
          </w:rPr>
          <w:t>P</w:t>
        </w:r>
        <w:r w:rsidR="0054575C" w:rsidRPr="00CA3A84">
          <w:rPr>
            <w:rStyle w:val="Hyperlink"/>
            <w:rFonts w:ascii="Arial" w:hAnsi="Arial" w:cs="Arial"/>
          </w:rPr>
          <w:t>rogramme</w:t>
        </w:r>
      </w:hyperlink>
      <w:r w:rsidR="0054575C" w:rsidRPr="00CA3A84">
        <w:rPr>
          <w:rFonts w:ascii="Arial" w:hAnsi="Arial" w:cs="Arial"/>
        </w:rPr>
        <w:t xml:space="preserve"> covers 50,000 online surveys a year across a nationally representative sample of shoppers in convenience. It covers the total convenience market including symbols, independents and managed convenience helping category, insight and sales teams </w:t>
      </w:r>
      <w:r w:rsidR="00897CB3" w:rsidRPr="00CA3A84">
        <w:rPr>
          <w:rFonts w:ascii="Arial" w:hAnsi="Arial" w:cs="Arial"/>
        </w:rPr>
        <w:t xml:space="preserve">have a consistent, in-depth understanding of the shopper. </w:t>
      </w:r>
    </w:p>
    <w:p w14:paraId="3616E721" w14:textId="77777777" w:rsidR="005460CE" w:rsidRPr="00CA3A84" w:rsidRDefault="005460CE" w:rsidP="005460CE">
      <w:pPr>
        <w:rPr>
          <w:rFonts w:ascii="Arial" w:hAnsi="Arial" w:cs="Arial"/>
          <w:b/>
          <w:bCs/>
        </w:rPr>
      </w:pPr>
    </w:p>
    <w:p w14:paraId="27ADB60B" w14:textId="77777777" w:rsidR="005460CE" w:rsidRPr="00CA3A84" w:rsidRDefault="005460CE" w:rsidP="005460CE">
      <w:pPr>
        <w:rPr>
          <w:rFonts w:ascii="Arial" w:hAnsi="Arial" w:cs="Arial"/>
          <w:b/>
          <w:bCs/>
        </w:rPr>
      </w:pPr>
      <w:r w:rsidRPr="00CA3A84">
        <w:rPr>
          <w:rFonts w:ascii="Arial" w:hAnsi="Arial" w:cs="Arial"/>
          <w:b/>
          <w:bCs/>
        </w:rPr>
        <w:t>Who We Are:</w:t>
      </w:r>
    </w:p>
    <w:p w14:paraId="4E2D8615" w14:textId="77777777" w:rsidR="005460CE" w:rsidRPr="00CA3A84" w:rsidRDefault="005460CE" w:rsidP="005460CE">
      <w:pPr>
        <w:rPr>
          <w:rFonts w:ascii="Arial" w:hAnsi="Arial" w:cs="Arial"/>
        </w:rPr>
      </w:pPr>
      <w:hyperlink r:id="rId9" w:history="1">
        <w:r w:rsidRPr="00CA3A84">
          <w:rPr>
            <w:rStyle w:val="Hyperlink"/>
            <w:rFonts w:ascii="Arial" w:hAnsi="Arial" w:cs="Arial"/>
          </w:rPr>
          <w:t>Lumina Intelligence</w:t>
        </w:r>
      </w:hyperlink>
      <w:r w:rsidRPr="00CA3A84">
        <w:rPr>
          <w:rFonts w:ascii="Arial" w:hAnsi="Arial" w:cs="Arial"/>
        </w:rPr>
        <w:t xml:space="preserve"> helps food and drink brands understand their consumers and markets - so they can grow faster, plan smarter, and make better commercial decisions.</w:t>
      </w:r>
    </w:p>
    <w:p w14:paraId="437DB569" w14:textId="77777777" w:rsidR="005460CE" w:rsidRPr="00CA3A84" w:rsidRDefault="005460CE" w:rsidP="005460CE">
      <w:pPr>
        <w:rPr>
          <w:rFonts w:ascii="Arial" w:hAnsi="Arial" w:cs="Arial"/>
        </w:rPr>
      </w:pPr>
      <w:r w:rsidRPr="00CA3A84">
        <w:rPr>
          <w:rFonts w:ascii="Arial" w:hAnsi="Arial" w:cs="Arial"/>
        </w:rPr>
        <w:t>We specialise in insight for grocery retail and hospitality, combining trusted data with expert analysis to support your commercial, category, and insight teams.</w:t>
      </w:r>
    </w:p>
    <w:p w14:paraId="48A5588F" w14:textId="77777777" w:rsidR="005460CE" w:rsidRPr="00CA3A84" w:rsidRDefault="005460CE" w:rsidP="005460CE">
      <w:pPr>
        <w:rPr>
          <w:rFonts w:ascii="Arial" w:hAnsi="Arial" w:cs="Arial"/>
        </w:rPr>
      </w:pPr>
      <w:hyperlink r:id="rId10" w:history="1">
        <w:r w:rsidRPr="00CA3A84">
          <w:rPr>
            <w:rStyle w:val="Hyperlink"/>
            <w:rFonts w:ascii="Arial" w:hAnsi="Arial" w:cs="Arial"/>
          </w:rPr>
          <w:t>https://www.lumina-intelligence.com/</w:t>
        </w:r>
      </w:hyperlink>
      <w:r w:rsidRPr="00CA3A84">
        <w:rPr>
          <w:rFonts w:ascii="Arial" w:hAnsi="Arial" w:cs="Arial"/>
        </w:rPr>
        <w:t xml:space="preserve"> </w:t>
      </w:r>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35B"/>
    <w:multiLevelType w:val="hybridMultilevel"/>
    <w:tmpl w:val="6AA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84215"/>
    <w:multiLevelType w:val="multilevel"/>
    <w:tmpl w:val="DA8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035068">
    <w:abstractNumId w:val="7"/>
  </w:num>
  <w:num w:numId="2" w16cid:durableId="1735852765">
    <w:abstractNumId w:val="3"/>
  </w:num>
  <w:num w:numId="3" w16cid:durableId="161552042">
    <w:abstractNumId w:val="8"/>
  </w:num>
  <w:num w:numId="4" w16cid:durableId="877665447">
    <w:abstractNumId w:val="5"/>
  </w:num>
  <w:num w:numId="5" w16cid:durableId="495808842">
    <w:abstractNumId w:val="2"/>
  </w:num>
  <w:num w:numId="6" w16cid:durableId="642929762">
    <w:abstractNumId w:val="6"/>
  </w:num>
  <w:num w:numId="7" w16cid:durableId="653607717">
    <w:abstractNumId w:val="4"/>
  </w:num>
  <w:num w:numId="8" w16cid:durableId="2037461658">
    <w:abstractNumId w:val="1"/>
  </w:num>
  <w:num w:numId="9" w16cid:durableId="546645435">
    <w:abstractNumId w:val="0"/>
  </w:num>
  <w:num w:numId="10" w16cid:durableId="1929653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306B9"/>
    <w:rsid w:val="00030F84"/>
    <w:rsid w:val="00056C0C"/>
    <w:rsid w:val="0006497F"/>
    <w:rsid w:val="00072404"/>
    <w:rsid w:val="000809E0"/>
    <w:rsid w:val="000F1972"/>
    <w:rsid w:val="00107613"/>
    <w:rsid w:val="00107E2B"/>
    <w:rsid w:val="00113451"/>
    <w:rsid w:val="00116246"/>
    <w:rsid w:val="001249C3"/>
    <w:rsid w:val="00134B6F"/>
    <w:rsid w:val="00195F54"/>
    <w:rsid w:val="001A3D4E"/>
    <w:rsid w:val="001B2C2A"/>
    <w:rsid w:val="001C50C1"/>
    <w:rsid w:val="001C5B98"/>
    <w:rsid w:val="001C65B6"/>
    <w:rsid w:val="001C7BF1"/>
    <w:rsid w:val="001D4D35"/>
    <w:rsid w:val="0020411A"/>
    <w:rsid w:val="00214D95"/>
    <w:rsid w:val="00216F72"/>
    <w:rsid w:val="00240CAC"/>
    <w:rsid w:val="00254A90"/>
    <w:rsid w:val="00261F91"/>
    <w:rsid w:val="00297C15"/>
    <w:rsid w:val="002A0166"/>
    <w:rsid w:val="002A0F0F"/>
    <w:rsid w:val="002E22C9"/>
    <w:rsid w:val="002E7454"/>
    <w:rsid w:val="002F089D"/>
    <w:rsid w:val="002F0BB4"/>
    <w:rsid w:val="002F7EAF"/>
    <w:rsid w:val="00302E10"/>
    <w:rsid w:val="00312F51"/>
    <w:rsid w:val="00356002"/>
    <w:rsid w:val="00363346"/>
    <w:rsid w:val="0036548B"/>
    <w:rsid w:val="0038460D"/>
    <w:rsid w:val="003C089C"/>
    <w:rsid w:val="003C4BB2"/>
    <w:rsid w:val="003E204B"/>
    <w:rsid w:val="003F3D7F"/>
    <w:rsid w:val="00414095"/>
    <w:rsid w:val="0041755B"/>
    <w:rsid w:val="0044412F"/>
    <w:rsid w:val="004B3902"/>
    <w:rsid w:val="004D23F6"/>
    <w:rsid w:val="004E551E"/>
    <w:rsid w:val="004F1FF8"/>
    <w:rsid w:val="00520307"/>
    <w:rsid w:val="00537340"/>
    <w:rsid w:val="0054575C"/>
    <w:rsid w:val="005460CE"/>
    <w:rsid w:val="00550B08"/>
    <w:rsid w:val="0055150D"/>
    <w:rsid w:val="00553497"/>
    <w:rsid w:val="00566CAE"/>
    <w:rsid w:val="005B7E51"/>
    <w:rsid w:val="005C3BD2"/>
    <w:rsid w:val="005F5529"/>
    <w:rsid w:val="00604B4A"/>
    <w:rsid w:val="0061620B"/>
    <w:rsid w:val="00624D3B"/>
    <w:rsid w:val="0064772D"/>
    <w:rsid w:val="0065536E"/>
    <w:rsid w:val="006562DA"/>
    <w:rsid w:val="00664369"/>
    <w:rsid w:val="00664850"/>
    <w:rsid w:val="00673E64"/>
    <w:rsid w:val="00686860"/>
    <w:rsid w:val="00691E88"/>
    <w:rsid w:val="006D48BE"/>
    <w:rsid w:val="006E75AA"/>
    <w:rsid w:val="006E79FF"/>
    <w:rsid w:val="006F447C"/>
    <w:rsid w:val="00720ABB"/>
    <w:rsid w:val="007221DF"/>
    <w:rsid w:val="007229E3"/>
    <w:rsid w:val="00725D81"/>
    <w:rsid w:val="007337FD"/>
    <w:rsid w:val="007368CE"/>
    <w:rsid w:val="007402DC"/>
    <w:rsid w:val="007446FD"/>
    <w:rsid w:val="007451F1"/>
    <w:rsid w:val="00747CEC"/>
    <w:rsid w:val="00755025"/>
    <w:rsid w:val="0076037A"/>
    <w:rsid w:val="007854AB"/>
    <w:rsid w:val="007A270E"/>
    <w:rsid w:val="007A50F0"/>
    <w:rsid w:val="007C2AE1"/>
    <w:rsid w:val="007D197C"/>
    <w:rsid w:val="007F3C85"/>
    <w:rsid w:val="00813785"/>
    <w:rsid w:val="008154D9"/>
    <w:rsid w:val="008249B4"/>
    <w:rsid w:val="008276B8"/>
    <w:rsid w:val="00831A17"/>
    <w:rsid w:val="00846DDB"/>
    <w:rsid w:val="00862CCB"/>
    <w:rsid w:val="00882EC4"/>
    <w:rsid w:val="00894BA3"/>
    <w:rsid w:val="00897CB3"/>
    <w:rsid w:val="008A46AD"/>
    <w:rsid w:val="008C2F28"/>
    <w:rsid w:val="008D4655"/>
    <w:rsid w:val="008D5C4F"/>
    <w:rsid w:val="008E1A01"/>
    <w:rsid w:val="008E317A"/>
    <w:rsid w:val="008E5A63"/>
    <w:rsid w:val="009035F0"/>
    <w:rsid w:val="009073C5"/>
    <w:rsid w:val="0092365C"/>
    <w:rsid w:val="009400D0"/>
    <w:rsid w:val="00970A81"/>
    <w:rsid w:val="00997020"/>
    <w:rsid w:val="009A6775"/>
    <w:rsid w:val="009C3668"/>
    <w:rsid w:val="009C613A"/>
    <w:rsid w:val="009D1543"/>
    <w:rsid w:val="00A2410C"/>
    <w:rsid w:val="00A2582F"/>
    <w:rsid w:val="00A60D57"/>
    <w:rsid w:val="00A70FE3"/>
    <w:rsid w:val="00A90A13"/>
    <w:rsid w:val="00A935A1"/>
    <w:rsid w:val="00AA4D4A"/>
    <w:rsid w:val="00AD236E"/>
    <w:rsid w:val="00AE6B2F"/>
    <w:rsid w:val="00AF6BFF"/>
    <w:rsid w:val="00B06987"/>
    <w:rsid w:val="00B06B5C"/>
    <w:rsid w:val="00B154B6"/>
    <w:rsid w:val="00B414CE"/>
    <w:rsid w:val="00B46E6F"/>
    <w:rsid w:val="00B54F43"/>
    <w:rsid w:val="00B616DB"/>
    <w:rsid w:val="00B833AA"/>
    <w:rsid w:val="00BB4747"/>
    <w:rsid w:val="00C16ADB"/>
    <w:rsid w:val="00C176BD"/>
    <w:rsid w:val="00C270FD"/>
    <w:rsid w:val="00C30C1F"/>
    <w:rsid w:val="00C475B9"/>
    <w:rsid w:val="00C4785A"/>
    <w:rsid w:val="00C545F0"/>
    <w:rsid w:val="00C61FBF"/>
    <w:rsid w:val="00C73550"/>
    <w:rsid w:val="00C77C17"/>
    <w:rsid w:val="00C86028"/>
    <w:rsid w:val="00CA3A84"/>
    <w:rsid w:val="00CA6670"/>
    <w:rsid w:val="00CC30CF"/>
    <w:rsid w:val="00CD419B"/>
    <w:rsid w:val="00CE6B8A"/>
    <w:rsid w:val="00D25202"/>
    <w:rsid w:val="00D308D1"/>
    <w:rsid w:val="00D7181B"/>
    <w:rsid w:val="00D856AA"/>
    <w:rsid w:val="00DB062C"/>
    <w:rsid w:val="00DD76E1"/>
    <w:rsid w:val="00E214AC"/>
    <w:rsid w:val="00E25B65"/>
    <w:rsid w:val="00E56A95"/>
    <w:rsid w:val="00E72427"/>
    <w:rsid w:val="00E734FF"/>
    <w:rsid w:val="00E800EF"/>
    <w:rsid w:val="00EA1B39"/>
    <w:rsid w:val="00ED2C5E"/>
    <w:rsid w:val="00ED3ABD"/>
    <w:rsid w:val="00EE28D1"/>
    <w:rsid w:val="00EF7048"/>
    <w:rsid w:val="00F10F0C"/>
    <w:rsid w:val="00F16921"/>
    <w:rsid w:val="00F20900"/>
    <w:rsid w:val="00F5102E"/>
    <w:rsid w:val="00F744AB"/>
    <w:rsid w:val="00F91FB9"/>
    <w:rsid w:val="00FB2C7F"/>
    <w:rsid w:val="00FC1A9F"/>
    <w:rsid w:val="00FD155C"/>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paragraph" w:customStyle="1" w:styleId="Default">
    <w:name w:val="Default"/>
    <w:rsid w:val="00AF6B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1310">
      <w:bodyDiv w:val="1"/>
      <w:marLeft w:val="0"/>
      <w:marRight w:val="0"/>
      <w:marTop w:val="0"/>
      <w:marBottom w:val="0"/>
      <w:divBdr>
        <w:top w:val="none" w:sz="0" w:space="0" w:color="auto"/>
        <w:left w:val="none" w:sz="0" w:space="0" w:color="auto"/>
        <w:bottom w:val="none" w:sz="0" w:space="0" w:color="auto"/>
        <w:right w:val="none" w:sz="0" w:space="0" w:color="auto"/>
      </w:divBdr>
    </w:div>
    <w:div w:id="254560542">
      <w:bodyDiv w:val="1"/>
      <w:marLeft w:val="0"/>
      <w:marRight w:val="0"/>
      <w:marTop w:val="0"/>
      <w:marBottom w:val="0"/>
      <w:divBdr>
        <w:top w:val="none" w:sz="0" w:space="0" w:color="auto"/>
        <w:left w:val="none" w:sz="0" w:space="0" w:color="auto"/>
        <w:bottom w:val="none" w:sz="0" w:space="0" w:color="auto"/>
        <w:right w:val="none" w:sz="0" w:space="0" w:color="auto"/>
      </w:divBdr>
    </w:div>
    <w:div w:id="466122099">
      <w:bodyDiv w:val="1"/>
      <w:marLeft w:val="0"/>
      <w:marRight w:val="0"/>
      <w:marTop w:val="0"/>
      <w:marBottom w:val="0"/>
      <w:divBdr>
        <w:top w:val="none" w:sz="0" w:space="0" w:color="auto"/>
        <w:left w:val="none" w:sz="0" w:space="0" w:color="auto"/>
        <w:bottom w:val="none" w:sz="0" w:space="0" w:color="auto"/>
        <w:right w:val="none" w:sz="0" w:space="0" w:color="auto"/>
      </w:divBdr>
    </w:div>
    <w:div w:id="691304994">
      <w:bodyDiv w:val="1"/>
      <w:marLeft w:val="0"/>
      <w:marRight w:val="0"/>
      <w:marTop w:val="0"/>
      <w:marBottom w:val="0"/>
      <w:divBdr>
        <w:top w:val="none" w:sz="0" w:space="0" w:color="auto"/>
        <w:left w:val="none" w:sz="0" w:space="0" w:color="auto"/>
        <w:bottom w:val="none" w:sz="0" w:space="0" w:color="auto"/>
        <w:right w:val="none" w:sz="0" w:space="0" w:color="auto"/>
      </w:divBdr>
    </w:div>
    <w:div w:id="817454163">
      <w:bodyDiv w:val="1"/>
      <w:marLeft w:val="0"/>
      <w:marRight w:val="0"/>
      <w:marTop w:val="0"/>
      <w:marBottom w:val="0"/>
      <w:divBdr>
        <w:top w:val="none" w:sz="0" w:space="0" w:color="auto"/>
        <w:left w:val="none" w:sz="0" w:space="0" w:color="auto"/>
        <w:bottom w:val="none" w:sz="0" w:space="0" w:color="auto"/>
        <w:right w:val="none" w:sz="0" w:space="0" w:color="auto"/>
      </w:divBdr>
      <w:divsChild>
        <w:div w:id="365524044">
          <w:marLeft w:val="0"/>
          <w:marRight w:val="0"/>
          <w:marTop w:val="0"/>
          <w:marBottom w:val="0"/>
          <w:divBdr>
            <w:top w:val="none" w:sz="0" w:space="0" w:color="auto"/>
            <w:left w:val="none" w:sz="0" w:space="0" w:color="auto"/>
            <w:bottom w:val="none" w:sz="0" w:space="0" w:color="auto"/>
            <w:right w:val="none" w:sz="0" w:space="0" w:color="auto"/>
          </w:divBdr>
        </w:div>
      </w:divsChild>
    </w:div>
    <w:div w:id="1075083583">
      <w:bodyDiv w:val="1"/>
      <w:marLeft w:val="0"/>
      <w:marRight w:val="0"/>
      <w:marTop w:val="0"/>
      <w:marBottom w:val="0"/>
      <w:divBdr>
        <w:top w:val="none" w:sz="0" w:space="0" w:color="auto"/>
        <w:left w:val="none" w:sz="0" w:space="0" w:color="auto"/>
        <w:bottom w:val="none" w:sz="0" w:space="0" w:color="auto"/>
        <w:right w:val="none" w:sz="0" w:space="0" w:color="auto"/>
      </w:divBdr>
    </w:div>
    <w:div w:id="1198813265">
      <w:bodyDiv w:val="1"/>
      <w:marLeft w:val="0"/>
      <w:marRight w:val="0"/>
      <w:marTop w:val="0"/>
      <w:marBottom w:val="0"/>
      <w:divBdr>
        <w:top w:val="none" w:sz="0" w:space="0" w:color="auto"/>
        <w:left w:val="none" w:sz="0" w:space="0" w:color="auto"/>
        <w:bottom w:val="none" w:sz="0" w:space="0" w:color="auto"/>
        <w:right w:val="none" w:sz="0" w:space="0" w:color="auto"/>
      </w:divBdr>
    </w:div>
    <w:div w:id="1205168525">
      <w:bodyDiv w:val="1"/>
      <w:marLeft w:val="0"/>
      <w:marRight w:val="0"/>
      <w:marTop w:val="0"/>
      <w:marBottom w:val="0"/>
      <w:divBdr>
        <w:top w:val="none" w:sz="0" w:space="0" w:color="auto"/>
        <w:left w:val="none" w:sz="0" w:space="0" w:color="auto"/>
        <w:bottom w:val="none" w:sz="0" w:space="0" w:color="auto"/>
        <w:right w:val="none" w:sz="0" w:space="0" w:color="auto"/>
      </w:divBdr>
    </w:div>
    <w:div w:id="1318992845">
      <w:bodyDiv w:val="1"/>
      <w:marLeft w:val="0"/>
      <w:marRight w:val="0"/>
      <w:marTop w:val="0"/>
      <w:marBottom w:val="0"/>
      <w:divBdr>
        <w:top w:val="none" w:sz="0" w:space="0" w:color="auto"/>
        <w:left w:val="none" w:sz="0" w:space="0" w:color="auto"/>
        <w:bottom w:val="none" w:sz="0" w:space="0" w:color="auto"/>
        <w:right w:val="none" w:sz="0" w:space="0" w:color="auto"/>
      </w:divBdr>
    </w:div>
    <w:div w:id="1376278211">
      <w:bodyDiv w:val="1"/>
      <w:marLeft w:val="0"/>
      <w:marRight w:val="0"/>
      <w:marTop w:val="0"/>
      <w:marBottom w:val="0"/>
      <w:divBdr>
        <w:top w:val="none" w:sz="0" w:space="0" w:color="auto"/>
        <w:left w:val="none" w:sz="0" w:space="0" w:color="auto"/>
        <w:bottom w:val="none" w:sz="0" w:space="0" w:color="auto"/>
        <w:right w:val="none" w:sz="0" w:space="0" w:color="auto"/>
      </w:divBdr>
    </w:div>
    <w:div w:id="1390569900">
      <w:bodyDiv w:val="1"/>
      <w:marLeft w:val="0"/>
      <w:marRight w:val="0"/>
      <w:marTop w:val="0"/>
      <w:marBottom w:val="0"/>
      <w:divBdr>
        <w:top w:val="none" w:sz="0" w:space="0" w:color="auto"/>
        <w:left w:val="none" w:sz="0" w:space="0" w:color="auto"/>
        <w:bottom w:val="none" w:sz="0" w:space="0" w:color="auto"/>
        <w:right w:val="none" w:sz="0" w:space="0" w:color="auto"/>
      </w:divBdr>
    </w:div>
    <w:div w:id="1621061921">
      <w:bodyDiv w:val="1"/>
      <w:marLeft w:val="0"/>
      <w:marRight w:val="0"/>
      <w:marTop w:val="0"/>
      <w:marBottom w:val="0"/>
      <w:divBdr>
        <w:top w:val="none" w:sz="0" w:space="0" w:color="auto"/>
        <w:left w:val="none" w:sz="0" w:space="0" w:color="auto"/>
        <w:bottom w:val="none" w:sz="0" w:space="0" w:color="auto"/>
        <w:right w:val="none" w:sz="0" w:space="0" w:color="auto"/>
      </w:divBdr>
      <w:divsChild>
        <w:div w:id="408426463">
          <w:marLeft w:val="0"/>
          <w:marRight w:val="0"/>
          <w:marTop w:val="0"/>
          <w:marBottom w:val="0"/>
          <w:divBdr>
            <w:top w:val="none" w:sz="0" w:space="0" w:color="auto"/>
            <w:left w:val="none" w:sz="0" w:space="0" w:color="auto"/>
            <w:bottom w:val="none" w:sz="0" w:space="0" w:color="auto"/>
            <w:right w:val="none" w:sz="0" w:space="0" w:color="auto"/>
          </w:divBdr>
        </w:div>
      </w:divsChild>
    </w:div>
    <w:div w:id="1628927877">
      <w:bodyDiv w:val="1"/>
      <w:marLeft w:val="0"/>
      <w:marRight w:val="0"/>
      <w:marTop w:val="0"/>
      <w:marBottom w:val="0"/>
      <w:divBdr>
        <w:top w:val="none" w:sz="0" w:space="0" w:color="auto"/>
        <w:left w:val="none" w:sz="0" w:space="0" w:color="auto"/>
        <w:bottom w:val="none" w:sz="0" w:space="0" w:color="auto"/>
        <w:right w:val="none" w:sz="0" w:space="0" w:color="auto"/>
      </w:divBdr>
    </w:div>
    <w:div w:id="1774402053">
      <w:bodyDiv w:val="1"/>
      <w:marLeft w:val="0"/>
      <w:marRight w:val="0"/>
      <w:marTop w:val="0"/>
      <w:marBottom w:val="0"/>
      <w:divBdr>
        <w:top w:val="none" w:sz="0" w:space="0" w:color="auto"/>
        <w:left w:val="none" w:sz="0" w:space="0" w:color="auto"/>
        <w:bottom w:val="none" w:sz="0" w:space="0" w:color="auto"/>
        <w:right w:val="none" w:sz="0" w:space="0" w:color="auto"/>
      </w:divBdr>
    </w:div>
    <w:div w:id="1967851817">
      <w:bodyDiv w:val="1"/>
      <w:marLeft w:val="0"/>
      <w:marRight w:val="0"/>
      <w:marTop w:val="0"/>
      <w:marBottom w:val="0"/>
      <w:divBdr>
        <w:top w:val="none" w:sz="0" w:space="0" w:color="auto"/>
        <w:left w:val="none" w:sz="0" w:space="0" w:color="auto"/>
        <w:bottom w:val="none" w:sz="0" w:space="0" w:color="auto"/>
        <w:right w:val="none" w:sz="0" w:space="0" w:color="auto"/>
      </w:divBdr>
    </w:div>
    <w:div w:id="20101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product/convenience-tracking-programme/" TargetMode="External"/><Relationship Id="rId3" Type="http://schemas.openxmlformats.org/officeDocument/2006/relationships/settings" Target="settings.xml"/><Relationship Id="rId7" Type="http://schemas.openxmlformats.org/officeDocument/2006/relationships/hyperlink" Target="https://www.lumina-intelligence.com/product/convenience-track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Monica Rico Castrillo</cp:lastModifiedBy>
  <cp:revision>2</cp:revision>
  <dcterms:created xsi:type="dcterms:W3CDTF">2026-04-21T10:53:00Z</dcterms:created>
  <dcterms:modified xsi:type="dcterms:W3CDTF">2026-04-21T10:53:00Z</dcterms:modified>
</cp:coreProperties>
</file>