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7822" w14:textId="19B7A20F" w:rsidR="00ED3ABD" w:rsidRPr="00550B08" w:rsidRDefault="007221DF" w:rsidP="00ED3ABD">
      <w:pPr>
        <w:rPr>
          <w:rFonts w:ascii="Arial" w:hAnsi="Arial" w:cs="Arial"/>
          <w:b/>
          <w:bCs/>
          <w:color w:val="505050"/>
          <w:sz w:val="18"/>
          <w:szCs w:val="18"/>
        </w:rPr>
      </w:pPr>
      <w:r w:rsidRPr="00550B08">
        <w:rPr>
          <w:rFonts w:ascii="Arial" w:hAnsi="Arial" w:cs="Arial"/>
          <w:b/>
          <w:bCs/>
          <w:noProof/>
          <w:color w:val="505050"/>
          <w:sz w:val="18"/>
          <w:szCs w:val="18"/>
        </w:rPr>
        <w:drawing>
          <wp:anchor distT="0" distB="0" distL="114300" distR="114300" simplePos="0" relativeHeight="251658240" behindDoc="1" locked="0" layoutInCell="1" allowOverlap="1" wp14:anchorId="49377F67" wp14:editId="4586E190">
            <wp:simplePos x="0" y="0"/>
            <wp:positionH relativeFrom="margin">
              <wp:posOffset>4389120</wp:posOffset>
            </wp:positionH>
            <wp:positionV relativeFrom="paragraph">
              <wp:posOffset>9525</wp:posOffset>
            </wp:positionV>
            <wp:extent cx="1287145" cy="626110"/>
            <wp:effectExtent l="0" t="0" r="8255" b="2540"/>
            <wp:wrapTight wrapText="bothSides">
              <wp:wrapPolygon edited="0">
                <wp:start x="0" y="0"/>
                <wp:lineTo x="0" y="20373"/>
                <wp:lineTo x="7353" y="21030"/>
                <wp:lineTo x="9910" y="21030"/>
                <wp:lineTo x="21419" y="19716"/>
                <wp:lineTo x="21419" y="1314"/>
                <wp:lineTo x="140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7145" cy="626110"/>
                    </a:xfrm>
                    <a:prstGeom prst="rect">
                      <a:avLst/>
                    </a:prstGeom>
                  </pic:spPr>
                </pic:pic>
              </a:graphicData>
            </a:graphic>
            <wp14:sizeRelH relativeFrom="margin">
              <wp14:pctWidth>0</wp14:pctWidth>
            </wp14:sizeRelH>
            <wp14:sizeRelV relativeFrom="margin">
              <wp14:pctHeight>0</wp14:pctHeight>
            </wp14:sizeRelV>
          </wp:anchor>
        </w:drawing>
      </w:r>
      <w:r w:rsidR="00ED3ABD" w:rsidRPr="00550B08">
        <w:rPr>
          <w:rFonts w:ascii="Arial" w:hAnsi="Arial" w:cs="Arial"/>
          <w:b/>
          <w:bCs/>
          <w:color w:val="505050"/>
          <w:sz w:val="18"/>
          <w:szCs w:val="18"/>
        </w:rPr>
        <w:t>CONTACT INFORMATION:</w:t>
      </w:r>
    </w:p>
    <w:p w14:paraId="0532A99E" w14:textId="63178E36" w:rsidR="00ED3ABD" w:rsidRPr="00550B08" w:rsidRDefault="00ED3ABD" w:rsidP="00ED3ABD">
      <w:pPr>
        <w:spacing w:after="0" w:line="240" w:lineRule="auto"/>
        <w:rPr>
          <w:rFonts w:ascii="Arial" w:hAnsi="Arial" w:cs="Arial"/>
          <w:b/>
          <w:bCs/>
          <w:color w:val="505050"/>
          <w:sz w:val="18"/>
          <w:szCs w:val="18"/>
        </w:rPr>
      </w:pPr>
      <w:r w:rsidRPr="00550B08">
        <w:rPr>
          <w:rFonts w:ascii="Arial" w:hAnsi="Arial" w:cs="Arial"/>
          <w:b/>
          <w:bCs/>
          <w:color w:val="505050"/>
          <w:sz w:val="18"/>
          <w:szCs w:val="18"/>
        </w:rPr>
        <w:t>Lumina Intelligence</w:t>
      </w:r>
    </w:p>
    <w:p w14:paraId="32951546" w14:textId="3687D4F4" w:rsidR="00ED3ABD" w:rsidRPr="00550B08" w:rsidRDefault="001B2C2A" w:rsidP="00ED3ABD">
      <w:pPr>
        <w:spacing w:after="0" w:line="240" w:lineRule="auto"/>
        <w:rPr>
          <w:rFonts w:ascii="Arial" w:hAnsi="Arial" w:cs="Arial"/>
          <w:b/>
          <w:bCs/>
          <w:color w:val="505050"/>
          <w:sz w:val="18"/>
          <w:szCs w:val="18"/>
        </w:rPr>
      </w:pPr>
      <w:r>
        <w:rPr>
          <w:rFonts w:ascii="Arial" w:hAnsi="Arial" w:cs="Arial"/>
          <w:b/>
          <w:bCs/>
          <w:color w:val="505050"/>
          <w:sz w:val="18"/>
          <w:szCs w:val="18"/>
        </w:rPr>
        <w:t>Monica Rico</w:t>
      </w:r>
    </w:p>
    <w:p w14:paraId="553A8214" w14:textId="004D0D6A" w:rsidR="00ED3ABD" w:rsidRPr="00550B08" w:rsidRDefault="001B2C2A" w:rsidP="00ED3ABD">
      <w:pPr>
        <w:spacing w:after="0" w:line="240" w:lineRule="auto"/>
        <w:rPr>
          <w:rFonts w:ascii="Arial" w:hAnsi="Arial" w:cs="Arial"/>
          <w:b/>
          <w:bCs/>
          <w:color w:val="505050"/>
          <w:sz w:val="18"/>
          <w:szCs w:val="18"/>
        </w:rPr>
      </w:pPr>
      <w:r>
        <w:rPr>
          <w:rFonts w:ascii="Arial" w:hAnsi="Arial" w:cs="Arial"/>
          <w:b/>
          <w:bCs/>
          <w:color w:val="505050"/>
          <w:sz w:val="18"/>
          <w:szCs w:val="18"/>
        </w:rPr>
        <w:t>07423555808</w:t>
      </w:r>
    </w:p>
    <w:p w14:paraId="452AC616" w14:textId="317D67E0" w:rsidR="00ED3ABD" w:rsidRPr="00550B08" w:rsidRDefault="001B2C2A" w:rsidP="00ED3ABD">
      <w:pPr>
        <w:spacing w:after="0" w:line="240" w:lineRule="auto"/>
        <w:rPr>
          <w:rStyle w:val="Hyperlink"/>
          <w:rFonts w:ascii="Arial" w:hAnsi="Arial" w:cs="Arial"/>
          <w:color w:val="505050"/>
          <w:sz w:val="18"/>
          <w:szCs w:val="18"/>
        </w:rPr>
      </w:pPr>
      <w:hyperlink r:id="rId6" w:history="1">
        <w:r w:rsidRPr="0075254E">
          <w:rPr>
            <w:rStyle w:val="Hyperlink"/>
            <w:rFonts w:ascii="Arial" w:hAnsi="Arial" w:cs="Arial"/>
            <w:b/>
            <w:bCs/>
            <w:sz w:val="18"/>
            <w:szCs w:val="18"/>
          </w:rPr>
          <w:t>monica.ricocastrillo@lumina-intelligence.com</w:t>
        </w:r>
      </w:hyperlink>
      <w:r>
        <w:rPr>
          <w:rFonts w:ascii="Arial" w:hAnsi="Arial" w:cs="Arial"/>
          <w:b/>
          <w:bCs/>
          <w:sz w:val="18"/>
          <w:szCs w:val="18"/>
        </w:rPr>
        <w:tab/>
      </w:r>
    </w:p>
    <w:p w14:paraId="1D64BCA5" w14:textId="3CA5B9DE" w:rsidR="003C4BB2" w:rsidRPr="00550B08" w:rsidRDefault="003C4BB2" w:rsidP="00ED3ABD">
      <w:pPr>
        <w:spacing w:after="0" w:line="240" w:lineRule="auto"/>
        <w:rPr>
          <w:rStyle w:val="Hyperlink"/>
          <w:rFonts w:ascii="Arial" w:hAnsi="Arial" w:cs="Arial"/>
          <w:color w:val="505050"/>
          <w:sz w:val="18"/>
          <w:szCs w:val="18"/>
        </w:rPr>
      </w:pPr>
    </w:p>
    <w:p w14:paraId="21BA4789" w14:textId="71B16121" w:rsidR="00ED3ABD" w:rsidRPr="00550B08" w:rsidRDefault="00CA3A84" w:rsidP="003C4BB2">
      <w:pPr>
        <w:spacing w:after="0" w:line="240" w:lineRule="auto"/>
        <w:rPr>
          <w:rStyle w:val="Hyperlink"/>
          <w:rFonts w:ascii="Arial" w:hAnsi="Arial" w:cs="Arial"/>
          <w:b/>
          <w:bCs/>
          <w:color w:val="505050"/>
          <w:sz w:val="18"/>
          <w:szCs w:val="18"/>
          <w:u w:val="none"/>
        </w:rPr>
      </w:pPr>
      <w:r>
        <w:rPr>
          <w:rStyle w:val="Hyperlink"/>
          <w:rFonts w:ascii="Arial" w:hAnsi="Arial" w:cs="Arial"/>
          <w:b/>
          <w:bCs/>
          <w:color w:val="505050"/>
          <w:sz w:val="18"/>
          <w:szCs w:val="18"/>
          <w:u w:val="none"/>
        </w:rPr>
        <w:t>21</w:t>
      </w:r>
      <w:r w:rsidR="00A2582F">
        <w:rPr>
          <w:rStyle w:val="Hyperlink"/>
          <w:rFonts w:ascii="Arial" w:hAnsi="Arial" w:cs="Arial"/>
          <w:b/>
          <w:bCs/>
          <w:color w:val="505050"/>
          <w:sz w:val="18"/>
          <w:szCs w:val="18"/>
          <w:u w:val="none"/>
        </w:rPr>
        <w:t xml:space="preserve"> </w:t>
      </w:r>
      <w:r>
        <w:rPr>
          <w:rStyle w:val="Hyperlink"/>
          <w:rFonts w:ascii="Arial" w:hAnsi="Arial" w:cs="Arial"/>
          <w:b/>
          <w:bCs/>
          <w:color w:val="505050"/>
          <w:sz w:val="18"/>
          <w:szCs w:val="18"/>
          <w:u w:val="none"/>
        </w:rPr>
        <w:t>April</w:t>
      </w:r>
      <w:r w:rsidR="00A2582F">
        <w:rPr>
          <w:rStyle w:val="Hyperlink"/>
          <w:rFonts w:ascii="Arial" w:hAnsi="Arial" w:cs="Arial"/>
          <w:b/>
          <w:bCs/>
          <w:color w:val="505050"/>
          <w:sz w:val="18"/>
          <w:szCs w:val="18"/>
          <w:u w:val="none"/>
        </w:rPr>
        <w:t xml:space="preserve"> 202</w:t>
      </w:r>
      <w:r>
        <w:rPr>
          <w:rStyle w:val="Hyperlink"/>
          <w:rFonts w:ascii="Arial" w:hAnsi="Arial" w:cs="Arial"/>
          <w:b/>
          <w:bCs/>
          <w:color w:val="505050"/>
          <w:sz w:val="18"/>
          <w:szCs w:val="18"/>
          <w:u w:val="none"/>
        </w:rPr>
        <w:t>6</w:t>
      </w:r>
    </w:p>
    <w:p w14:paraId="74BC0C7C" w14:textId="77777777" w:rsidR="009400D0" w:rsidRPr="009400D0" w:rsidRDefault="009400D0" w:rsidP="009400D0">
      <w:pPr>
        <w:rPr>
          <w:rFonts w:ascii="Arial" w:hAnsi="Arial" w:cs="Arial"/>
          <w:b/>
          <w:bCs/>
          <w:sz w:val="32"/>
          <w:szCs w:val="32"/>
        </w:rPr>
      </w:pPr>
    </w:p>
    <w:p w14:paraId="15B3B418" w14:textId="5739BE7C" w:rsidR="002A785F" w:rsidRDefault="002A785F" w:rsidP="00CA3A84">
      <w:pPr>
        <w:rPr>
          <w:rFonts w:ascii="Arial" w:hAnsi="Arial" w:cs="Arial"/>
          <w:b/>
          <w:bCs/>
          <w:sz w:val="28"/>
          <w:szCs w:val="28"/>
        </w:rPr>
      </w:pPr>
      <w:r w:rsidRPr="002A785F">
        <w:rPr>
          <w:rFonts w:ascii="Arial" w:hAnsi="Arial" w:cs="Arial"/>
          <w:b/>
          <w:bCs/>
          <w:sz w:val="28"/>
          <w:szCs w:val="28"/>
        </w:rPr>
        <w:t xml:space="preserve">Value Re Defined: </w:t>
      </w:r>
      <w:r w:rsidR="00D71E68">
        <w:rPr>
          <w:rFonts w:ascii="Arial" w:hAnsi="Arial" w:cs="Arial"/>
          <w:b/>
          <w:bCs/>
          <w:sz w:val="28"/>
          <w:szCs w:val="28"/>
        </w:rPr>
        <w:t xml:space="preserve">The </w:t>
      </w:r>
      <w:r w:rsidRPr="002A785F">
        <w:rPr>
          <w:rFonts w:ascii="Arial" w:hAnsi="Arial" w:cs="Arial"/>
          <w:b/>
          <w:bCs/>
          <w:sz w:val="28"/>
          <w:szCs w:val="28"/>
        </w:rPr>
        <w:t xml:space="preserve">UK </w:t>
      </w:r>
      <w:r w:rsidR="00D71E68">
        <w:rPr>
          <w:rFonts w:ascii="Arial" w:hAnsi="Arial" w:cs="Arial"/>
          <w:b/>
          <w:bCs/>
          <w:sz w:val="28"/>
          <w:szCs w:val="28"/>
        </w:rPr>
        <w:t xml:space="preserve">Modern </w:t>
      </w:r>
      <w:r w:rsidRPr="002A785F">
        <w:rPr>
          <w:rFonts w:ascii="Arial" w:hAnsi="Arial" w:cs="Arial"/>
          <w:b/>
          <w:bCs/>
          <w:sz w:val="28"/>
          <w:szCs w:val="28"/>
        </w:rPr>
        <w:t>Consumer Shift</w:t>
      </w:r>
      <w:r w:rsidR="00D71E68">
        <w:rPr>
          <w:rFonts w:ascii="Arial" w:hAnsi="Arial" w:cs="Arial"/>
          <w:b/>
          <w:bCs/>
          <w:sz w:val="28"/>
          <w:szCs w:val="28"/>
        </w:rPr>
        <w:t>s</w:t>
      </w:r>
      <w:r w:rsidRPr="002A785F">
        <w:rPr>
          <w:rFonts w:ascii="Arial" w:hAnsi="Arial" w:cs="Arial"/>
          <w:b/>
          <w:bCs/>
          <w:sz w:val="28"/>
          <w:szCs w:val="28"/>
        </w:rPr>
        <w:t xml:space="preserve"> from Price to Quality, Fairness and Freshness</w:t>
      </w:r>
    </w:p>
    <w:p w14:paraId="7AE268DE" w14:textId="6E44192E" w:rsidR="002A785F" w:rsidRPr="002A785F" w:rsidRDefault="002A785F" w:rsidP="002A785F">
      <w:pPr>
        <w:rPr>
          <w:rFonts w:ascii="Arial" w:hAnsi="Arial" w:cs="Arial"/>
        </w:rPr>
      </w:pPr>
      <w:r w:rsidRPr="002A785F">
        <w:rPr>
          <w:rFonts w:ascii="Arial" w:hAnsi="Arial" w:cs="Arial"/>
        </w:rPr>
        <w:t>UK consumers are fundamentally re</w:t>
      </w:r>
      <w:r w:rsidRPr="002A785F">
        <w:rPr>
          <w:rFonts w:ascii="Arial" w:hAnsi="Arial" w:cs="Arial"/>
        </w:rPr>
        <w:noBreakHyphen/>
        <w:t xml:space="preserve">defining what “value” means, according to new findings from </w:t>
      </w:r>
      <w:hyperlink r:id="rId7" w:history="1">
        <w:r w:rsidRPr="00AF5412">
          <w:rPr>
            <w:rStyle w:val="Hyperlink"/>
            <w:rFonts w:ascii="Arial" w:hAnsi="Arial" w:cs="Arial"/>
            <w:b/>
            <w:bCs/>
          </w:rPr>
          <w:t xml:space="preserve">Lumina Intelligence’s </w:t>
        </w:r>
        <w:r w:rsidRPr="00AF5412">
          <w:rPr>
            <w:rStyle w:val="Hyperlink"/>
            <w:rFonts w:ascii="Arial" w:hAnsi="Arial" w:cs="Arial"/>
            <w:b/>
            <w:bCs/>
            <w:i/>
            <w:iCs/>
          </w:rPr>
          <w:t>The Modern UK Consumer</w:t>
        </w:r>
        <w:r w:rsidR="00AF5412" w:rsidRPr="00AF5412">
          <w:rPr>
            <w:rStyle w:val="Hyperlink"/>
            <w:rFonts w:ascii="Arial" w:hAnsi="Arial" w:cs="Arial"/>
            <w:b/>
            <w:bCs/>
          </w:rPr>
          <w:t xml:space="preserve"> 2026</w:t>
        </w:r>
      </w:hyperlink>
      <w:r>
        <w:rPr>
          <w:rFonts w:ascii="Arial" w:hAnsi="Arial" w:cs="Arial"/>
          <w:b/>
          <w:bCs/>
        </w:rPr>
        <w:t xml:space="preserve">. </w:t>
      </w:r>
      <w:r w:rsidRPr="002A785F">
        <w:rPr>
          <w:rFonts w:ascii="Arial" w:hAnsi="Arial" w:cs="Arial"/>
        </w:rPr>
        <w:t>While price remains part of the decision</w:t>
      </w:r>
      <w:r w:rsidRPr="002A785F">
        <w:rPr>
          <w:rFonts w:ascii="Arial" w:hAnsi="Arial" w:cs="Arial"/>
        </w:rPr>
        <w:noBreakHyphen/>
        <w:t xml:space="preserve">making equation, it is no longer the dominant driver. Instead, consumers increasingly judge value through </w:t>
      </w:r>
      <w:r w:rsidRPr="002A785F">
        <w:rPr>
          <w:rFonts w:ascii="Arial" w:hAnsi="Arial" w:cs="Arial"/>
          <w:b/>
          <w:bCs/>
        </w:rPr>
        <w:t>quality, reliability, experience and emotional payoff</w:t>
      </w:r>
      <w:r w:rsidRPr="002A785F">
        <w:rPr>
          <w:rFonts w:ascii="Arial" w:hAnsi="Arial" w:cs="Arial"/>
        </w:rPr>
        <w:t>, with fairness and consistency now outweighing the appeal of ultra</w:t>
      </w:r>
      <w:r w:rsidRPr="002A785F">
        <w:rPr>
          <w:rFonts w:ascii="Arial" w:hAnsi="Arial" w:cs="Arial"/>
        </w:rPr>
        <w:noBreakHyphen/>
        <w:t>low prices.</w:t>
      </w:r>
    </w:p>
    <w:p w14:paraId="021645BF" w14:textId="7963D1C0" w:rsidR="002A785F" w:rsidRPr="002A785F" w:rsidRDefault="002A785F" w:rsidP="002A785F">
      <w:pPr>
        <w:rPr>
          <w:rFonts w:ascii="Arial" w:hAnsi="Arial" w:cs="Arial"/>
        </w:rPr>
      </w:pPr>
      <w:r w:rsidRPr="002A785F">
        <w:rPr>
          <w:rFonts w:ascii="Arial" w:hAnsi="Arial" w:cs="Arial"/>
        </w:rPr>
        <w:t xml:space="preserve">The research shows that “good value” is no longer synonymous with cheapness. Shoppers and diners are far more likely to associate value with </w:t>
      </w:r>
      <w:r w:rsidRPr="002A785F">
        <w:rPr>
          <w:rFonts w:ascii="Arial" w:hAnsi="Arial" w:cs="Arial"/>
          <w:b/>
          <w:bCs/>
        </w:rPr>
        <w:t>being fairly treated</w:t>
      </w:r>
      <w:r>
        <w:rPr>
          <w:rFonts w:ascii="Arial" w:hAnsi="Arial" w:cs="Arial"/>
        </w:rPr>
        <w:t xml:space="preserve">, </w:t>
      </w:r>
      <w:r w:rsidRPr="002A785F">
        <w:rPr>
          <w:rFonts w:ascii="Arial" w:hAnsi="Arial" w:cs="Arial"/>
        </w:rPr>
        <w:t>receiving consistent quality, good taste and trusted cues that justify spend, particularly in an inflationary environment. Heavy discounting, while still relevant for some cohorts, can undermine quality perceptions and erode trust when not backed by strong fundamentals.</w:t>
      </w:r>
    </w:p>
    <w:p w14:paraId="2B7E601E" w14:textId="77777777" w:rsidR="002A785F" w:rsidRPr="002A785F" w:rsidRDefault="002A785F" w:rsidP="002A785F">
      <w:pPr>
        <w:rPr>
          <w:rFonts w:ascii="Arial" w:hAnsi="Arial" w:cs="Arial"/>
          <w:b/>
          <w:bCs/>
        </w:rPr>
      </w:pPr>
      <w:r w:rsidRPr="002A785F">
        <w:rPr>
          <w:rFonts w:ascii="Arial" w:hAnsi="Arial" w:cs="Arial"/>
          <w:b/>
          <w:bCs/>
        </w:rPr>
        <w:t>Health Intent Continues to Outpace Behaviour</w:t>
      </w:r>
    </w:p>
    <w:p w14:paraId="2A3A2D6D" w14:textId="77777777" w:rsidR="002A785F" w:rsidRPr="002A785F" w:rsidRDefault="002A785F" w:rsidP="002A785F">
      <w:pPr>
        <w:rPr>
          <w:rFonts w:ascii="Arial" w:hAnsi="Arial" w:cs="Arial"/>
        </w:rPr>
      </w:pPr>
      <w:r w:rsidRPr="002A785F">
        <w:rPr>
          <w:rFonts w:ascii="Arial" w:hAnsi="Arial" w:cs="Arial"/>
        </w:rPr>
        <w:t xml:space="preserve">The report also highlights a persistent </w:t>
      </w:r>
      <w:r w:rsidRPr="002A785F">
        <w:rPr>
          <w:rFonts w:ascii="Arial" w:hAnsi="Arial" w:cs="Arial"/>
          <w:b/>
          <w:bCs/>
        </w:rPr>
        <w:t>say–do gap in health behaviours</w:t>
      </w:r>
      <w:r w:rsidRPr="002A785F">
        <w:rPr>
          <w:rFonts w:ascii="Arial" w:hAnsi="Arial" w:cs="Arial"/>
        </w:rPr>
        <w:t>. Consumers fluently talk about low ultra</w:t>
      </w:r>
      <w:r w:rsidRPr="002A785F">
        <w:rPr>
          <w:rFonts w:ascii="Arial" w:hAnsi="Arial" w:cs="Arial"/>
        </w:rPr>
        <w:noBreakHyphen/>
        <w:t xml:space="preserve">processed food (UPF), balanced nutrition and holistic wellbeing, yet everyday choices continue to default to </w:t>
      </w:r>
      <w:r w:rsidRPr="002A785F">
        <w:rPr>
          <w:rFonts w:ascii="Arial" w:hAnsi="Arial" w:cs="Arial"/>
          <w:b/>
          <w:bCs/>
        </w:rPr>
        <w:t>simplicity, speed and convenience</w:t>
      </w:r>
      <w:r w:rsidRPr="002A785F">
        <w:rPr>
          <w:rFonts w:ascii="Arial" w:hAnsi="Arial" w:cs="Arial"/>
        </w:rPr>
        <w:t>.</w:t>
      </w:r>
    </w:p>
    <w:p w14:paraId="14ED86DE" w14:textId="77777777" w:rsidR="002A785F" w:rsidRPr="002A785F" w:rsidRDefault="002A785F" w:rsidP="002A785F">
      <w:pPr>
        <w:rPr>
          <w:rFonts w:ascii="Arial" w:hAnsi="Arial" w:cs="Arial"/>
        </w:rPr>
      </w:pPr>
      <w:r w:rsidRPr="002A785F">
        <w:rPr>
          <w:rFonts w:ascii="Arial" w:hAnsi="Arial" w:cs="Arial"/>
        </w:rPr>
        <w:t xml:space="preserve">The largest gaps between intention and action sit around </w:t>
      </w:r>
      <w:r w:rsidRPr="002A785F">
        <w:rPr>
          <w:rFonts w:ascii="Arial" w:hAnsi="Arial" w:cs="Arial"/>
          <w:b/>
          <w:bCs/>
        </w:rPr>
        <w:t>balanced macronutrients and low</w:t>
      </w:r>
      <w:r w:rsidRPr="002A785F">
        <w:rPr>
          <w:rFonts w:ascii="Arial" w:hAnsi="Arial" w:cs="Arial"/>
          <w:b/>
          <w:bCs/>
        </w:rPr>
        <w:noBreakHyphen/>
        <w:t>UPF eating</w:t>
      </w:r>
      <w:r w:rsidRPr="002A785F">
        <w:rPr>
          <w:rFonts w:ascii="Arial" w:hAnsi="Arial" w:cs="Arial"/>
        </w:rPr>
        <w:t>, both of which require greater effort, knowledge and label scrutiny. Despite strong stated interest, these complexities often act as friction points in real</w:t>
      </w:r>
      <w:r w:rsidRPr="002A785F">
        <w:rPr>
          <w:rFonts w:ascii="Arial" w:hAnsi="Arial" w:cs="Arial"/>
        </w:rPr>
        <w:noBreakHyphen/>
        <w:t>world decision</w:t>
      </w:r>
      <w:r w:rsidRPr="002A785F">
        <w:rPr>
          <w:rFonts w:ascii="Arial" w:hAnsi="Arial" w:cs="Arial"/>
        </w:rPr>
        <w:noBreakHyphen/>
        <w:t>making.</w:t>
      </w:r>
    </w:p>
    <w:p w14:paraId="6FF671C0" w14:textId="602CBE57" w:rsidR="002A785F" w:rsidRPr="002A785F" w:rsidRDefault="002A785F" w:rsidP="002A785F">
      <w:pPr>
        <w:rPr>
          <w:rFonts w:ascii="Arial" w:hAnsi="Arial" w:cs="Arial"/>
        </w:rPr>
      </w:pPr>
      <w:r w:rsidRPr="002A785F">
        <w:rPr>
          <w:rFonts w:ascii="Arial" w:hAnsi="Arial" w:cs="Arial"/>
        </w:rPr>
        <w:t xml:space="preserve">This gap presents a clear opportunity for brands. Increasingly, operators and manufacturers are simplifying health communication through </w:t>
      </w:r>
      <w:r w:rsidRPr="002A785F">
        <w:rPr>
          <w:rFonts w:ascii="Arial" w:hAnsi="Arial" w:cs="Arial"/>
          <w:b/>
          <w:bCs/>
        </w:rPr>
        <w:t>clearer visual cues, shorter messaging and menu or packaging framing</w:t>
      </w:r>
      <w:r w:rsidRPr="002A785F">
        <w:rPr>
          <w:rFonts w:ascii="Arial" w:hAnsi="Arial" w:cs="Arial"/>
        </w:rPr>
        <w:t xml:space="preserve"> that translates complex nutrition into fast, intuitive choices.</w:t>
      </w:r>
    </w:p>
    <w:p w14:paraId="02F41764" w14:textId="41E45750" w:rsidR="002A785F" w:rsidRPr="002A785F" w:rsidRDefault="002A785F" w:rsidP="002A785F">
      <w:pPr>
        <w:rPr>
          <w:rFonts w:ascii="Arial" w:hAnsi="Arial" w:cs="Arial"/>
          <w:b/>
          <w:bCs/>
        </w:rPr>
      </w:pPr>
      <w:r w:rsidRPr="002A785F">
        <w:rPr>
          <w:rFonts w:ascii="Arial" w:hAnsi="Arial" w:cs="Arial"/>
          <w:b/>
          <w:bCs/>
        </w:rPr>
        <w:t>Freshness, Taste and Presentation Drive Conversion</w:t>
      </w:r>
    </w:p>
    <w:p w14:paraId="693207A8" w14:textId="77777777" w:rsidR="002A785F" w:rsidRPr="002A785F" w:rsidRDefault="002A785F" w:rsidP="002A785F">
      <w:pPr>
        <w:rPr>
          <w:rFonts w:ascii="Arial" w:hAnsi="Arial" w:cs="Arial"/>
        </w:rPr>
      </w:pPr>
      <w:r w:rsidRPr="002A785F">
        <w:rPr>
          <w:rFonts w:ascii="Arial" w:hAnsi="Arial" w:cs="Arial"/>
        </w:rPr>
        <w:t>Across both in</w:t>
      </w:r>
      <w:r w:rsidRPr="002A785F">
        <w:rPr>
          <w:rFonts w:ascii="Arial" w:hAnsi="Arial" w:cs="Arial"/>
        </w:rPr>
        <w:noBreakHyphen/>
        <w:t>home and out</w:t>
      </w:r>
      <w:r w:rsidRPr="002A785F">
        <w:rPr>
          <w:rFonts w:ascii="Arial" w:hAnsi="Arial" w:cs="Arial"/>
        </w:rPr>
        <w:noBreakHyphen/>
        <w:t>of</w:t>
      </w:r>
      <w:r w:rsidRPr="002A785F">
        <w:rPr>
          <w:rFonts w:ascii="Arial" w:hAnsi="Arial" w:cs="Arial"/>
        </w:rPr>
        <w:noBreakHyphen/>
        <w:t xml:space="preserve">home occasions, the research confirms that </w:t>
      </w:r>
      <w:r w:rsidRPr="002A785F">
        <w:rPr>
          <w:rFonts w:ascii="Arial" w:hAnsi="Arial" w:cs="Arial"/>
          <w:b/>
          <w:bCs/>
        </w:rPr>
        <w:t>freshness, taste and presentation act as instant quality shortcuts</w:t>
      </w:r>
      <w:r w:rsidRPr="002A785F">
        <w:rPr>
          <w:rFonts w:ascii="Arial" w:hAnsi="Arial" w:cs="Arial"/>
        </w:rPr>
        <w:t>. These sensory cues consistently outperform detailed claims, certifications and credentials in influencing choice and justifying price.</w:t>
      </w:r>
    </w:p>
    <w:p w14:paraId="3F5C97F1" w14:textId="5811D866" w:rsidR="002A785F" w:rsidRPr="002A785F" w:rsidRDefault="002A785F" w:rsidP="002A785F">
      <w:pPr>
        <w:rPr>
          <w:rFonts w:ascii="Arial" w:hAnsi="Arial" w:cs="Arial"/>
        </w:rPr>
      </w:pPr>
      <w:r w:rsidRPr="002A785F">
        <w:rPr>
          <w:rFonts w:ascii="Arial" w:hAnsi="Arial" w:cs="Arial"/>
        </w:rPr>
        <w:t xml:space="preserve">Consumers instinctively assess quality through what they can see, smell and experience immediately. While provenance, nutrition and ingredient transparency play a supporting role </w:t>
      </w:r>
      <w:r>
        <w:rPr>
          <w:rFonts w:ascii="Arial" w:hAnsi="Arial" w:cs="Arial"/>
        </w:rPr>
        <w:t xml:space="preserve">– </w:t>
      </w:r>
      <w:r w:rsidRPr="002A785F">
        <w:rPr>
          <w:rFonts w:ascii="Arial" w:hAnsi="Arial" w:cs="Arial"/>
        </w:rPr>
        <w:t>particularly for older or more health</w:t>
      </w:r>
      <w:r w:rsidRPr="002A785F">
        <w:rPr>
          <w:rFonts w:ascii="Arial" w:hAnsi="Arial" w:cs="Arial"/>
        </w:rPr>
        <w:noBreakHyphen/>
        <w:t xml:space="preserve">engaged audiences </w:t>
      </w:r>
      <w:r>
        <w:rPr>
          <w:rFonts w:ascii="Arial" w:hAnsi="Arial" w:cs="Arial"/>
        </w:rPr>
        <w:t>–</w:t>
      </w:r>
      <w:r w:rsidRPr="002A785F">
        <w:rPr>
          <w:rFonts w:ascii="Arial" w:hAnsi="Arial" w:cs="Arial"/>
        </w:rPr>
        <w:t xml:space="preserve"> sensory signals are what convert in practice.</w:t>
      </w:r>
    </w:p>
    <w:p w14:paraId="5E3DD636" w14:textId="77777777" w:rsidR="002A785F" w:rsidRPr="002A785F" w:rsidRDefault="002A785F" w:rsidP="002A785F">
      <w:pPr>
        <w:rPr>
          <w:rFonts w:ascii="Arial" w:hAnsi="Arial" w:cs="Arial"/>
        </w:rPr>
      </w:pPr>
      <w:r w:rsidRPr="002A785F">
        <w:rPr>
          <w:rFonts w:ascii="Arial" w:hAnsi="Arial" w:cs="Arial"/>
        </w:rPr>
        <w:t xml:space="preserve">The findings highlight the importance of </w:t>
      </w:r>
      <w:r w:rsidRPr="002A785F">
        <w:rPr>
          <w:rFonts w:ascii="Arial" w:hAnsi="Arial" w:cs="Arial"/>
          <w:b/>
          <w:bCs/>
        </w:rPr>
        <w:t>making quality visible and tangible</w:t>
      </w:r>
      <w:r w:rsidRPr="002A785F">
        <w:rPr>
          <w:rFonts w:ascii="Arial" w:hAnsi="Arial" w:cs="Arial"/>
        </w:rPr>
        <w:t>, reducing reliance on explanation and enabling brands to command value with greater confidence.</w:t>
      </w:r>
    </w:p>
    <w:p w14:paraId="254F2BC0" w14:textId="0A6B0081" w:rsidR="002A785F" w:rsidRPr="002A785F" w:rsidRDefault="002A785F" w:rsidP="002A785F">
      <w:pPr>
        <w:rPr>
          <w:rFonts w:ascii="Arial" w:hAnsi="Arial" w:cs="Arial"/>
        </w:rPr>
      </w:pPr>
    </w:p>
    <w:p w14:paraId="694E3D3D" w14:textId="77777777" w:rsidR="002A785F" w:rsidRPr="002A785F" w:rsidRDefault="002A785F" w:rsidP="002A785F">
      <w:pPr>
        <w:rPr>
          <w:rFonts w:ascii="Arial" w:hAnsi="Arial" w:cs="Arial"/>
        </w:rPr>
      </w:pPr>
      <w:r w:rsidRPr="002A785F">
        <w:rPr>
          <w:rFonts w:ascii="Arial" w:hAnsi="Arial" w:cs="Arial"/>
          <w:b/>
          <w:bCs/>
        </w:rPr>
        <w:lastRenderedPageBreak/>
        <w:t>ENDS</w:t>
      </w:r>
    </w:p>
    <w:p w14:paraId="79903ADA" w14:textId="487978E2" w:rsidR="002A785F" w:rsidRPr="002A785F" w:rsidRDefault="002A785F" w:rsidP="002A785F">
      <w:pPr>
        <w:rPr>
          <w:rFonts w:ascii="Arial" w:hAnsi="Arial" w:cs="Arial"/>
        </w:rPr>
      </w:pPr>
    </w:p>
    <w:p w14:paraId="2D2EBA67" w14:textId="77777777" w:rsidR="002A785F" w:rsidRPr="002A785F" w:rsidRDefault="002A785F" w:rsidP="002A785F">
      <w:pPr>
        <w:rPr>
          <w:rFonts w:ascii="Arial" w:hAnsi="Arial" w:cs="Arial"/>
          <w:b/>
          <w:bCs/>
        </w:rPr>
      </w:pPr>
      <w:r w:rsidRPr="002A785F">
        <w:rPr>
          <w:rFonts w:ascii="Arial" w:hAnsi="Arial" w:cs="Arial"/>
          <w:b/>
          <w:bCs/>
        </w:rPr>
        <w:t>Methodology</w:t>
      </w:r>
    </w:p>
    <w:p w14:paraId="63126D3C" w14:textId="77777777" w:rsidR="002A785F" w:rsidRDefault="002A785F" w:rsidP="002A785F">
      <w:pPr>
        <w:rPr>
          <w:rFonts w:ascii="Arial" w:hAnsi="Arial" w:cs="Arial"/>
        </w:rPr>
      </w:pPr>
      <w:r w:rsidRPr="002A785F">
        <w:rPr>
          <w:rFonts w:ascii="Arial" w:hAnsi="Arial" w:cs="Arial"/>
        </w:rPr>
        <w:t xml:space="preserve">The findings are based on </w:t>
      </w:r>
      <w:r w:rsidRPr="002A785F">
        <w:rPr>
          <w:rFonts w:ascii="Arial" w:hAnsi="Arial" w:cs="Arial"/>
          <w:b/>
          <w:bCs/>
        </w:rPr>
        <w:t>Lumina Intelligence’s annual Psychographics Survey</w:t>
      </w:r>
      <w:r w:rsidRPr="002A785F">
        <w:rPr>
          <w:rFonts w:ascii="Arial" w:hAnsi="Arial" w:cs="Arial"/>
        </w:rPr>
        <w:t xml:space="preserve">, drawing on responses from </w:t>
      </w:r>
      <w:r w:rsidRPr="002A785F">
        <w:rPr>
          <w:rFonts w:ascii="Arial" w:hAnsi="Arial" w:cs="Arial"/>
          <w:b/>
          <w:bCs/>
        </w:rPr>
        <w:t>3,000 UK adults aged 18+</w:t>
      </w:r>
      <w:r w:rsidRPr="002A785F">
        <w:rPr>
          <w:rFonts w:ascii="Arial" w:hAnsi="Arial" w:cs="Arial"/>
        </w:rPr>
        <w:t>. The survey was conducted over a four</w:t>
      </w:r>
      <w:r w:rsidRPr="002A785F">
        <w:rPr>
          <w:rFonts w:ascii="Arial" w:hAnsi="Arial" w:cs="Arial"/>
        </w:rPr>
        <w:noBreakHyphen/>
        <w:t xml:space="preserve">week period to </w:t>
      </w:r>
      <w:r w:rsidRPr="002A785F">
        <w:rPr>
          <w:rFonts w:ascii="Arial" w:hAnsi="Arial" w:cs="Arial"/>
          <w:b/>
          <w:bCs/>
        </w:rPr>
        <w:t>18 June 2025</w:t>
      </w:r>
      <w:r w:rsidRPr="002A785F">
        <w:rPr>
          <w:rFonts w:ascii="Arial" w:hAnsi="Arial" w:cs="Arial"/>
        </w:rPr>
        <w:t xml:space="preserve"> and is nationally representative across age, gender and region.</w:t>
      </w:r>
    </w:p>
    <w:p w14:paraId="74B1C8F9" w14:textId="45FF0292" w:rsidR="002A785F" w:rsidRPr="002A785F" w:rsidRDefault="002A785F" w:rsidP="002A785F">
      <w:pPr>
        <w:rPr>
          <w:rFonts w:ascii="Arial" w:hAnsi="Arial" w:cs="Arial"/>
        </w:rPr>
      </w:pPr>
      <w:r w:rsidRPr="002A785F">
        <w:rPr>
          <w:rFonts w:ascii="Arial" w:hAnsi="Arial" w:cs="Arial"/>
        </w:rPr>
        <w:br/>
        <w:t xml:space="preserve">Additional behavioural insight is supported by Lumina Intelligence’s </w:t>
      </w:r>
      <w:r w:rsidRPr="002A785F">
        <w:rPr>
          <w:rFonts w:ascii="Arial" w:hAnsi="Arial" w:cs="Arial"/>
          <w:b/>
          <w:bCs/>
        </w:rPr>
        <w:t>Eating and Drinking Out Panel</w:t>
      </w:r>
      <w:r w:rsidRPr="002A785F">
        <w:rPr>
          <w:rFonts w:ascii="Arial" w:hAnsi="Arial" w:cs="Arial"/>
        </w:rPr>
        <w:t>, tracking consumer attitudes, values and decision</w:t>
      </w:r>
      <w:r w:rsidRPr="002A785F">
        <w:rPr>
          <w:rFonts w:ascii="Arial" w:hAnsi="Arial" w:cs="Arial"/>
        </w:rPr>
        <w:noBreakHyphen/>
        <w:t>making across both in</w:t>
      </w:r>
      <w:r w:rsidRPr="002A785F">
        <w:rPr>
          <w:rFonts w:ascii="Arial" w:hAnsi="Arial" w:cs="Arial"/>
        </w:rPr>
        <w:noBreakHyphen/>
        <w:t>home and out</w:t>
      </w:r>
      <w:r w:rsidRPr="002A785F">
        <w:rPr>
          <w:rFonts w:ascii="Arial" w:hAnsi="Arial" w:cs="Arial"/>
        </w:rPr>
        <w:noBreakHyphen/>
        <w:t>of</w:t>
      </w:r>
      <w:r w:rsidRPr="002A785F">
        <w:rPr>
          <w:rFonts w:ascii="Arial" w:hAnsi="Arial" w:cs="Arial"/>
        </w:rPr>
        <w:noBreakHyphen/>
        <w:t>home food and drink occasions.</w:t>
      </w:r>
    </w:p>
    <w:p w14:paraId="6377E434" w14:textId="771F4FB6" w:rsidR="002A785F" w:rsidRPr="002A785F" w:rsidRDefault="002A785F" w:rsidP="002A785F">
      <w:pPr>
        <w:rPr>
          <w:rFonts w:ascii="Arial" w:hAnsi="Arial" w:cs="Arial"/>
        </w:rPr>
      </w:pPr>
    </w:p>
    <w:p w14:paraId="097A8087" w14:textId="77777777" w:rsidR="002A785F" w:rsidRPr="002A785F" w:rsidRDefault="002A785F" w:rsidP="002A785F">
      <w:pPr>
        <w:rPr>
          <w:rFonts w:ascii="Arial" w:hAnsi="Arial" w:cs="Arial"/>
          <w:b/>
          <w:bCs/>
        </w:rPr>
      </w:pPr>
      <w:r w:rsidRPr="002A785F">
        <w:rPr>
          <w:rFonts w:ascii="Arial" w:hAnsi="Arial" w:cs="Arial"/>
          <w:b/>
          <w:bCs/>
        </w:rPr>
        <w:t>Who We Are</w:t>
      </w:r>
    </w:p>
    <w:p w14:paraId="3BA16228" w14:textId="77777777" w:rsidR="002A785F" w:rsidRPr="002A785F" w:rsidRDefault="002A785F" w:rsidP="002A785F">
      <w:pPr>
        <w:rPr>
          <w:rFonts w:ascii="Arial" w:hAnsi="Arial" w:cs="Arial"/>
        </w:rPr>
      </w:pPr>
      <w:r w:rsidRPr="002A785F">
        <w:rPr>
          <w:rFonts w:ascii="Arial" w:hAnsi="Arial" w:cs="Arial"/>
          <w:b/>
          <w:bCs/>
        </w:rPr>
        <w:t>Lumina Intelligence</w:t>
      </w:r>
      <w:r w:rsidRPr="002A785F">
        <w:rPr>
          <w:rFonts w:ascii="Arial" w:hAnsi="Arial" w:cs="Arial"/>
        </w:rPr>
        <w:t xml:space="preserve"> helps food and drink brands understand their consumers and markets — so they can grow faster, plan smarter, and make better commercial decisions.</w:t>
      </w:r>
    </w:p>
    <w:p w14:paraId="393F6B54" w14:textId="77777777" w:rsidR="002A785F" w:rsidRPr="002A785F" w:rsidRDefault="002A785F" w:rsidP="002A785F">
      <w:pPr>
        <w:rPr>
          <w:rFonts w:ascii="Arial" w:hAnsi="Arial" w:cs="Arial"/>
        </w:rPr>
      </w:pPr>
      <w:r w:rsidRPr="002A785F">
        <w:rPr>
          <w:rFonts w:ascii="Arial" w:hAnsi="Arial" w:cs="Arial"/>
        </w:rPr>
        <w:t>We specialise in insight for grocery retail and hospitality, combining trusted data with expert analysis to support your commercial, category and insight teams.</w:t>
      </w:r>
    </w:p>
    <w:p w14:paraId="51054457" w14:textId="77777777" w:rsidR="002A785F" w:rsidRPr="002A785F" w:rsidRDefault="002A785F" w:rsidP="002A785F">
      <w:pPr>
        <w:rPr>
          <w:rFonts w:ascii="Arial" w:hAnsi="Arial" w:cs="Arial"/>
        </w:rPr>
      </w:pPr>
      <w:hyperlink r:id="rId8" w:history="1">
        <w:r w:rsidRPr="002A785F">
          <w:rPr>
            <w:rStyle w:val="Hyperlink"/>
            <w:rFonts w:ascii="Arial" w:hAnsi="Arial" w:cs="Arial"/>
          </w:rPr>
          <w:t>https://www.lumina-intelligence.com/</w:t>
        </w:r>
      </w:hyperlink>
    </w:p>
    <w:p w14:paraId="7EB7B16A" w14:textId="77777777" w:rsidR="00113451" w:rsidRPr="00550B08" w:rsidRDefault="00113451">
      <w:pPr>
        <w:rPr>
          <w:rFonts w:ascii="Arial" w:hAnsi="Arial" w:cs="Arial"/>
          <w:sz w:val="20"/>
          <w:szCs w:val="20"/>
        </w:rPr>
      </w:pPr>
    </w:p>
    <w:sectPr w:rsidR="00113451" w:rsidRPr="00550B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35B"/>
    <w:multiLevelType w:val="hybridMultilevel"/>
    <w:tmpl w:val="6AAEF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DA5ECB"/>
    <w:multiLevelType w:val="hybridMultilevel"/>
    <w:tmpl w:val="BBA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E41A2B"/>
    <w:multiLevelType w:val="hybridMultilevel"/>
    <w:tmpl w:val="36AC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B449F"/>
    <w:multiLevelType w:val="hybridMultilevel"/>
    <w:tmpl w:val="D530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B7C1F"/>
    <w:multiLevelType w:val="hybridMultilevel"/>
    <w:tmpl w:val="D9FC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FF5B6C"/>
    <w:multiLevelType w:val="multilevel"/>
    <w:tmpl w:val="34F4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84E56"/>
    <w:multiLevelType w:val="hybridMultilevel"/>
    <w:tmpl w:val="5A46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7E268D"/>
    <w:multiLevelType w:val="hybridMultilevel"/>
    <w:tmpl w:val="CEB8F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560506"/>
    <w:multiLevelType w:val="hybridMultilevel"/>
    <w:tmpl w:val="EE16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1C1E00"/>
    <w:multiLevelType w:val="hybridMultilevel"/>
    <w:tmpl w:val="E7D6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5D77FF"/>
    <w:multiLevelType w:val="multilevel"/>
    <w:tmpl w:val="912A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684215"/>
    <w:multiLevelType w:val="multilevel"/>
    <w:tmpl w:val="DA8A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8035068">
    <w:abstractNumId w:val="8"/>
  </w:num>
  <w:num w:numId="2" w16cid:durableId="1735852765">
    <w:abstractNumId w:val="3"/>
  </w:num>
  <w:num w:numId="3" w16cid:durableId="161552042">
    <w:abstractNumId w:val="9"/>
  </w:num>
  <w:num w:numId="4" w16cid:durableId="877665447">
    <w:abstractNumId w:val="6"/>
  </w:num>
  <w:num w:numId="5" w16cid:durableId="495808842">
    <w:abstractNumId w:val="2"/>
  </w:num>
  <w:num w:numId="6" w16cid:durableId="642929762">
    <w:abstractNumId w:val="7"/>
  </w:num>
  <w:num w:numId="7" w16cid:durableId="653607717">
    <w:abstractNumId w:val="4"/>
  </w:num>
  <w:num w:numId="8" w16cid:durableId="2037461658">
    <w:abstractNumId w:val="1"/>
  </w:num>
  <w:num w:numId="9" w16cid:durableId="546645435">
    <w:abstractNumId w:val="0"/>
  </w:num>
  <w:num w:numId="10" w16cid:durableId="1929653117">
    <w:abstractNumId w:val="11"/>
  </w:num>
  <w:num w:numId="11" w16cid:durableId="812408072">
    <w:abstractNumId w:val="10"/>
  </w:num>
  <w:num w:numId="12" w16cid:durableId="1330056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8A"/>
    <w:rsid w:val="000306B9"/>
    <w:rsid w:val="00030F84"/>
    <w:rsid w:val="00056C0C"/>
    <w:rsid w:val="0006497F"/>
    <w:rsid w:val="00072404"/>
    <w:rsid w:val="000809E0"/>
    <w:rsid w:val="000F1972"/>
    <w:rsid w:val="00107613"/>
    <w:rsid w:val="00107E2B"/>
    <w:rsid w:val="00113451"/>
    <w:rsid w:val="00116246"/>
    <w:rsid w:val="001249C3"/>
    <w:rsid w:val="00134B6F"/>
    <w:rsid w:val="00195F54"/>
    <w:rsid w:val="001A3D4E"/>
    <w:rsid w:val="001B2C2A"/>
    <w:rsid w:val="001C50C1"/>
    <w:rsid w:val="001C5B98"/>
    <w:rsid w:val="001C65B6"/>
    <w:rsid w:val="001C7BF1"/>
    <w:rsid w:val="001D4D35"/>
    <w:rsid w:val="0020411A"/>
    <w:rsid w:val="00214D95"/>
    <w:rsid w:val="00216F72"/>
    <w:rsid w:val="00240CAC"/>
    <w:rsid w:val="00254A90"/>
    <w:rsid w:val="00261F91"/>
    <w:rsid w:val="00297C15"/>
    <w:rsid w:val="002A0166"/>
    <w:rsid w:val="002A0F0F"/>
    <w:rsid w:val="002A785F"/>
    <w:rsid w:val="002E22C9"/>
    <w:rsid w:val="002E7454"/>
    <w:rsid w:val="002F089D"/>
    <w:rsid w:val="002F0BB4"/>
    <w:rsid w:val="002F7EAF"/>
    <w:rsid w:val="00302E10"/>
    <w:rsid w:val="00312F51"/>
    <w:rsid w:val="00356002"/>
    <w:rsid w:val="00363346"/>
    <w:rsid w:val="0036548B"/>
    <w:rsid w:val="0038460D"/>
    <w:rsid w:val="003C089C"/>
    <w:rsid w:val="003C4BB2"/>
    <w:rsid w:val="003E204B"/>
    <w:rsid w:val="003F3D7F"/>
    <w:rsid w:val="00414095"/>
    <w:rsid w:val="0041755B"/>
    <w:rsid w:val="0044412F"/>
    <w:rsid w:val="004B3902"/>
    <w:rsid w:val="004D23F6"/>
    <w:rsid w:val="004E551E"/>
    <w:rsid w:val="004F1FF8"/>
    <w:rsid w:val="00520307"/>
    <w:rsid w:val="00537340"/>
    <w:rsid w:val="0054575C"/>
    <w:rsid w:val="005460CE"/>
    <w:rsid w:val="00550B08"/>
    <w:rsid w:val="0055150D"/>
    <w:rsid w:val="00553497"/>
    <w:rsid w:val="00566CAE"/>
    <w:rsid w:val="005B7E51"/>
    <w:rsid w:val="005C3BD2"/>
    <w:rsid w:val="005F5529"/>
    <w:rsid w:val="005F567E"/>
    <w:rsid w:val="00604B4A"/>
    <w:rsid w:val="0061620B"/>
    <w:rsid w:val="00624D3B"/>
    <w:rsid w:val="0064772D"/>
    <w:rsid w:val="0065536E"/>
    <w:rsid w:val="006562DA"/>
    <w:rsid w:val="00664369"/>
    <w:rsid w:val="00664850"/>
    <w:rsid w:val="00673E64"/>
    <w:rsid w:val="00686860"/>
    <w:rsid w:val="00691E88"/>
    <w:rsid w:val="006D48BE"/>
    <w:rsid w:val="006E75AA"/>
    <w:rsid w:val="006E79FF"/>
    <w:rsid w:val="006F447C"/>
    <w:rsid w:val="00720ABB"/>
    <w:rsid w:val="007221DF"/>
    <w:rsid w:val="007229E3"/>
    <w:rsid w:val="00725D81"/>
    <w:rsid w:val="007337FD"/>
    <w:rsid w:val="007368CE"/>
    <w:rsid w:val="007402DC"/>
    <w:rsid w:val="007446FD"/>
    <w:rsid w:val="007451F1"/>
    <w:rsid w:val="00747CEC"/>
    <w:rsid w:val="00755025"/>
    <w:rsid w:val="0076037A"/>
    <w:rsid w:val="007854AB"/>
    <w:rsid w:val="007A270E"/>
    <w:rsid w:val="007A50F0"/>
    <w:rsid w:val="007C2AE1"/>
    <w:rsid w:val="007D197C"/>
    <w:rsid w:val="007F3C85"/>
    <w:rsid w:val="00813785"/>
    <w:rsid w:val="008154D9"/>
    <w:rsid w:val="008249B4"/>
    <w:rsid w:val="008276B8"/>
    <w:rsid w:val="00831A17"/>
    <w:rsid w:val="00846DDB"/>
    <w:rsid w:val="00862CCB"/>
    <w:rsid w:val="00882EC4"/>
    <w:rsid w:val="00894BA3"/>
    <w:rsid w:val="00897CB3"/>
    <w:rsid w:val="008A46AD"/>
    <w:rsid w:val="008C2F28"/>
    <w:rsid w:val="008D4655"/>
    <w:rsid w:val="008D5C4F"/>
    <w:rsid w:val="008D7368"/>
    <w:rsid w:val="008E1A01"/>
    <w:rsid w:val="008E317A"/>
    <w:rsid w:val="008E5A63"/>
    <w:rsid w:val="009035F0"/>
    <w:rsid w:val="009073C5"/>
    <w:rsid w:val="0092365C"/>
    <w:rsid w:val="009400D0"/>
    <w:rsid w:val="00970A81"/>
    <w:rsid w:val="00997020"/>
    <w:rsid w:val="009A6775"/>
    <w:rsid w:val="009C3668"/>
    <w:rsid w:val="009C613A"/>
    <w:rsid w:val="009D1543"/>
    <w:rsid w:val="00A2410C"/>
    <w:rsid w:val="00A2582F"/>
    <w:rsid w:val="00A60D57"/>
    <w:rsid w:val="00A70FE3"/>
    <w:rsid w:val="00A90A13"/>
    <w:rsid w:val="00A935A1"/>
    <w:rsid w:val="00AA4D4A"/>
    <w:rsid w:val="00AD236E"/>
    <w:rsid w:val="00AE6B2F"/>
    <w:rsid w:val="00AF5412"/>
    <w:rsid w:val="00AF6BFF"/>
    <w:rsid w:val="00B06987"/>
    <w:rsid w:val="00B06B5C"/>
    <w:rsid w:val="00B154B6"/>
    <w:rsid w:val="00B414CE"/>
    <w:rsid w:val="00B46E6F"/>
    <w:rsid w:val="00B54F43"/>
    <w:rsid w:val="00B616DB"/>
    <w:rsid w:val="00B833AA"/>
    <w:rsid w:val="00BB4747"/>
    <w:rsid w:val="00C16ADB"/>
    <w:rsid w:val="00C176BD"/>
    <w:rsid w:val="00C270FD"/>
    <w:rsid w:val="00C30C1F"/>
    <w:rsid w:val="00C475B9"/>
    <w:rsid w:val="00C4785A"/>
    <w:rsid w:val="00C545F0"/>
    <w:rsid w:val="00C61FBF"/>
    <w:rsid w:val="00C73550"/>
    <w:rsid w:val="00C77C17"/>
    <w:rsid w:val="00C86028"/>
    <w:rsid w:val="00CA3A84"/>
    <w:rsid w:val="00CA6670"/>
    <w:rsid w:val="00CC30CF"/>
    <w:rsid w:val="00CD419B"/>
    <w:rsid w:val="00CE6B8A"/>
    <w:rsid w:val="00D25202"/>
    <w:rsid w:val="00D308D1"/>
    <w:rsid w:val="00D7181B"/>
    <w:rsid w:val="00D71E68"/>
    <w:rsid w:val="00D856AA"/>
    <w:rsid w:val="00DB062C"/>
    <w:rsid w:val="00DD76E1"/>
    <w:rsid w:val="00E214AC"/>
    <w:rsid w:val="00E25B65"/>
    <w:rsid w:val="00E56A95"/>
    <w:rsid w:val="00E72427"/>
    <w:rsid w:val="00E734FF"/>
    <w:rsid w:val="00E800EF"/>
    <w:rsid w:val="00EA1B39"/>
    <w:rsid w:val="00ED2C5E"/>
    <w:rsid w:val="00ED3ABD"/>
    <w:rsid w:val="00EE28D1"/>
    <w:rsid w:val="00EF7048"/>
    <w:rsid w:val="00F10F0C"/>
    <w:rsid w:val="00F16921"/>
    <w:rsid w:val="00F20900"/>
    <w:rsid w:val="00F5102E"/>
    <w:rsid w:val="00F744AB"/>
    <w:rsid w:val="00F91FB9"/>
    <w:rsid w:val="00FB2C7F"/>
    <w:rsid w:val="00FC1A9F"/>
    <w:rsid w:val="00FD155C"/>
    <w:rsid w:val="00FE1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E0BE"/>
  <w15:chartTrackingRefBased/>
  <w15:docId w15:val="{DB18318A-1872-42BE-9CEA-53F63272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ABD"/>
    <w:rPr>
      <w:color w:val="0563C1" w:themeColor="hyperlink"/>
      <w:u w:val="single"/>
    </w:rPr>
  </w:style>
  <w:style w:type="character" w:styleId="UnresolvedMention">
    <w:name w:val="Unresolved Mention"/>
    <w:basedOn w:val="DefaultParagraphFont"/>
    <w:uiPriority w:val="99"/>
    <w:semiHidden/>
    <w:unhideWhenUsed/>
    <w:rsid w:val="00ED3ABD"/>
    <w:rPr>
      <w:color w:val="605E5C"/>
      <w:shd w:val="clear" w:color="auto" w:fill="E1DFDD"/>
    </w:rPr>
  </w:style>
  <w:style w:type="paragraph" w:styleId="BalloonText">
    <w:name w:val="Balloon Text"/>
    <w:basedOn w:val="Normal"/>
    <w:link w:val="BalloonTextChar"/>
    <w:uiPriority w:val="99"/>
    <w:semiHidden/>
    <w:unhideWhenUsed/>
    <w:rsid w:val="00846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DDB"/>
    <w:rPr>
      <w:rFonts w:ascii="Segoe UI" w:hAnsi="Segoe UI" w:cs="Segoe UI"/>
      <w:sz w:val="18"/>
      <w:szCs w:val="18"/>
    </w:rPr>
  </w:style>
  <w:style w:type="paragraph" w:styleId="ListParagraph">
    <w:name w:val="List Paragraph"/>
    <w:basedOn w:val="Normal"/>
    <w:uiPriority w:val="34"/>
    <w:qFormat/>
    <w:rsid w:val="00550B08"/>
    <w:pPr>
      <w:ind w:left="720"/>
      <w:contextualSpacing/>
    </w:pPr>
  </w:style>
  <w:style w:type="character" w:styleId="CommentReference">
    <w:name w:val="annotation reference"/>
    <w:basedOn w:val="DefaultParagraphFont"/>
    <w:uiPriority w:val="99"/>
    <w:semiHidden/>
    <w:unhideWhenUsed/>
    <w:rsid w:val="0044412F"/>
    <w:rPr>
      <w:sz w:val="16"/>
      <w:szCs w:val="16"/>
    </w:rPr>
  </w:style>
  <w:style w:type="paragraph" w:styleId="CommentText">
    <w:name w:val="annotation text"/>
    <w:basedOn w:val="Normal"/>
    <w:link w:val="CommentTextChar"/>
    <w:uiPriority w:val="99"/>
    <w:unhideWhenUsed/>
    <w:rsid w:val="0044412F"/>
    <w:pPr>
      <w:spacing w:line="240" w:lineRule="auto"/>
    </w:pPr>
    <w:rPr>
      <w:sz w:val="20"/>
      <w:szCs w:val="20"/>
    </w:rPr>
  </w:style>
  <w:style w:type="character" w:customStyle="1" w:styleId="CommentTextChar">
    <w:name w:val="Comment Text Char"/>
    <w:basedOn w:val="DefaultParagraphFont"/>
    <w:link w:val="CommentText"/>
    <w:uiPriority w:val="99"/>
    <w:rsid w:val="0044412F"/>
    <w:rPr>
      <w:sz w:val="20"/>
      <w:szCs w:val="20"/>
    </w:rPr>
  </w:style>
  <w:style w:type="paragraph" w:styleId="CommentSubject">
    <w:name w:val="annotation subject"/>
    <w:basedOn w:val="CommentText"/>
    <w:next w:val="CommentText"/>
    <w:link w:val="CommentSubjectChar"/>
    <w:uiPriority w:val="99"/>
    <w:semiHidden/>
    <w:unhideWhenUsed/>
    <w:rsid w:val="0044412F"/>
    <w:rPr>
      <w:b/>
      <w:bCs/>
    </w:rPr>
  </w:style>
  <w:style w:type="character" w:customStyle="1" w:styleId="CommentSubjectChar">
    <w:name w:val="Comment Subject Char"/>
    <w:basedOn w:val="CommentTextChar"/>
    <w:link w:val="CommentSubject"/>
    <w:uiPriority w:val="99"/>
    <w:semiHidden/>
    <w:rsid w:val="0044412F"/>
    <w:rPr>
      <w:b/>
      <w:bCs/>
      <w:sz w:val="20"/>
      <w:szCs w:val="20"/>
    </w:rPr>
  </w:style>
  <w:style w:type="paragraph" w:styleId="Revision">
    <w:name w:val="Revision"/>
    <w:hidden/>
    <w:uiPriority w:val="99"/>
    <w:semiHidden/>
    <w:rsid w:val="008E1A01"/>
    <w:pPr>
      <w:spacing w:after="0" w:line="240" w:lineRule="auto"/>
    </w:pPr>
  </w:style>
  <w:style w:type="paragraph" w:customStyle="1" w:styleId="Default">
    <w:name w:val="Default"/>
    <w:rsid w:val="00AF6BF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01310">
      <w:bodyDiv w:val="1"/>
      <w:marLeft w:val="0"/>
      <w:marRight w:val="0"/>
      <w:marTop w:val="0"/>
      <w:marBottom w:val="0"/>
      <w:divBdr>
        <w:top w:val="none" w:sz="0" w:space="0" w:color="auto"/>
        <w:left w:val="none" w:sz="0" w:space="0" w:color="auto"/>
        <w:bottom w:val="none" w:sz="0" w:space="0" w:color="auto"/>
        <w:right w:val="none" w:sz="0" w:space="0" w:color="auto"/>
      </w:divBdr>
    </w:div>
    <w:div w:id="254560542">
      <w:bodyDiv w:val="1"/>
      <w:marLeft w:val="0"/>
      <w:marRight w:val="0"/>
      <w:marTop w:val="0"/>
      <w:marBottom w:val="0"/>
      <w:divBdr>
        <w:top w:val="none" w:sz="0" w:space="0" w:color="auto"/>
        <w:left w:val="none" w:sz="0" w:space="0" w:color="auto"/>
        <w:bottom w:val="none" w:sz="0" w:space="0" w:color="auto"/>
        <w:right w:val="none" w:sz="0" w:space="0" w:color="auto"/>
      </w:divBdr>
    </w:div>
    <w:div w:id="466122099">
      <w:bodyDiv w:val="1"/>
      <w:marLeft w:val="0"/>
      <w:marRight w:val="0"/>
      <w:marTop w:val="0"/>
      <w:marBottom w:val="0"/>
      <w:divBdr>
        <w:top w:val="none" w:sz="0" w:space="0" w:color="auto"/>
        <w:left w:val="none" w:sz="0" w:space="0" w:color="auto"/>
        <w:bottom w:val="none" w:sz="0" w:space="0" w:color="auto"/>
        <w:right w:val="none" w:sz="0" w:space="0" w:color="auto"/>
      </w:divBdr>
    </w:div>
    <w:div w:id="691304994">
      <w:bodyDiv w:val="1"/>
      <w:marLeft w:val="0"/>
      <w:marRight w:val="0"/>
      <w:marTop w:val="0"/>
      <w:marBottom w:val="0"/>
      <w:divBdr>
        <w:top w:val="none" w:sz="0" w:space="0" w:color="auto"/>
        <w:left w:val="none" w:sz="0" w:space="0" w:color="auto"/>
        <w:bottom w:val="none" w:sz="0" w:space="0" w:color="auto"/>
        <w:right w:val="none" w:sz="0" w:space="0" w:color="auto"/>
      </w:divBdr>
    </w:div>
    <w:div w:id="817454163">
      <w:bodyDiv w:val="1"/>
      <w:marLeft w:val="0"/>
      <w:marRight w:val="0"/>
      <w:marTop w:val="0"/>
      <w:marBottom w:val="0"/>
      <w:divBdr>
        <w:top w:val="none" w:sz="0" w:space="0" w:color="auto"/>
        <w:left w:val="none" w:sz="0" w:space="0" w:color="auto"/>
        <w:bottom w:val="none" w:sz="0" w:space="0" w:color="auto"/>
        <w:right w:val="none" w:sz="0" w:space="0" w:color="auto"/>
      </w:divBdr>
      <w:divsChild>
        <w:div w:id="365524044">
          <w:marLeft w:val="0"/>
          <w:marRight w:val="0"/>
          <w:marTop w:val="0"/>
          <w:marBottom w:val="0"/>
          <w:divBdr>
            <w:top w:val="none" w:sz="0" w:space="0" w:color="auto"/>
            <w:left w:val="none" w:sz="0" w:space="0" w:color="auto"/>
            <w:bottom w:val="none" w:sz="0" w:space="0" w:color="auto"/>
            <w:right w:val="none" w:sz="0" w:space="0" w:color="auto"/>
          </w:divBdr>
        </w:div>
      </w:divsChild>
    </w:div>
    <w:div w:id="1075083583">
      <w:bodyDiv w:val="1"/>
      <w:marLeft w:val="0"/>
      <w:marRight w:val="0"/>
      <w:marTop w:val="0"/>
      <w:marBottom w:val="0"/>
      <w:divBdr>
        <w:top w:val="none" w:sz="0" w:space="0" w:color="auto"/>
        <w:left w:val="none" w:sz="0" w:space="0" w:color="auto"/>
        <w:bottom w:val="none" w:sz="0" w:space="0" w:color="auto"/>
        <w:right w:val="none" w:sz="0" w:space="0" w:color="auto"/>
      </w:divBdr>
    </w:div>
    <w:div w:id="1198813265">
      <w:bodyDiv w:val="1"/>
      <w:marLeft w:val="0"/>
      <w:marRight w:val="0"/>
      <w:marTop w:val="0"/>
      <w:marBottom w:val="0"/>
      <w:divBdr>
        <w:top w:val="none" w:sz="0" w:space="0" w:color="auto"/>
        <w:left w:val="none" w:sz="0" w:space="0" w:color="auto"/>
        <w:bottom w:val="none" w:sz="0" w:space="0" w:color="auto"/>
        <w:right w:val="none" w:sz="0" w:space="0" w:color="auto"/>
      </w:divBdr>
    </w:div>
    <w:div w:id="1205168525">
      <w:bodyDiv w:val="1"/>
      <w:marLeft w:val="0"/>
      <w:marRight w:val="0"/>
      <w:marTop w:val="0"/>
      <w:marBottom w:val="0"/>
      <w:divBdr>
        <w:top w:val="none" w:sz="0" w:space="0" w:color="auto"/>
        <w:left w:val="none" w:sz="0" w:space="0" w:color="auto"/>
        <w:bottom w:val="none" w:sz="0" w:space="0" w:color="auto"/>
        <w:right w:val="none" w:sz="0" w:space="0" w:color="auto"/>
      </w:divBdr>
    </w:div>
    <w:div w:id="1318992845">
      <w:bodyDiv w:val="1"/>
      <w:marLeft w:val="0"/>
      <w:marRight w:val="0"/>
      <w:marTop w:val="0"/>
      <w:marBottom w:val="0"/>
      <w:divBdr>
        <w:top w:val="none" w:sz="0" w:space="0" w:color="auto"/>
        <w:left w:val="none" w:sz="0" w:space="0" w:color="auto"/>
        <w:bottom w:val="none" w:sz="0" w:space="0" w:color="auto"/>
        <w:right w:val="none" w:sz="0" w:space="0" w:color="auto"/>
      </w:divBdr>
    </w:div>
    <w:div w:id="1376278211">
      <w:bodyDiv w:val="1"/>
      <w:marLeft w:val="0"/>
      <w:marRight w:val="0"/>
      <w:marTop w:val="0"/>
      <w:marBottom w:val="0"/>
      <w:divBdr>
        <w:top w:val="none" w:sz="0" w:space="0" w:color="auto"/>
        <w:left w:val="none" w:sz="0" w:space="0" w:color="auto"/>
        <w:bottom w:val="none" w:sz="0" w:space="0" w:color="auto"/>
        <w:right w:val="none" w:sz="0" w:space="0" w:color="auto"/>
      </w:divBdr>
    </w:div>
    <w:div w:id="1390569900">
      <w:bodyDiv w:val="1"/>
      <w:marLeft w:val="0"/>
      <w:marRight w:val="0"/>
      <w:marTop w:val="0"/>
      <w:marBottom w:val="0"/>
      <w:divBdr>
        <w:top w:val="none" w:sz="0" w:space="0" w:color="auto"/>
        <w:left w:val="none" w:sz="0" w:space="0" w:color="auto"/>
        <w:bottom w:val="none" w:sz="0" w:space="0" w:color="auto"/>
        <w:right w:val="none" w:sz="0" w:space="0" w:color="auto"/>
      </w:divBdr>
    </w:div>
    <w:div w:id="1463843126">
      <w:bodyDiv w:val="1"/>
      <w:marLeft w:val="0"/>
      <w:marRight w:val="0"/>
      <w:marTop w:val="0"/>
      <w:marBottom w:val="0"/>
      <w:divBdr>
        <w:top w:val="none" w:sz="0" w:space="0" w:color="auto"/>
        <w:left w:val="none" w:sz="0" w:space="0" w:color="auto"/>
        <w:bottom w:val="none" w:sz="0" w:space="0" w:color="auto"/>
        <w:right w:val="none" w:sz="0" w:space="0" w:color="auto"/>
      </w:divBdr>
      <w:divsChild>
        <w:div w:id="541599435">
          <w:marLeft w:val="0"/>
          <w:marRight w:val="0"/>
          <w:marTop w:val="0"/>
          <w:marBottom w:val="0"/>
          <w:divBdr>
            <w:top w:val="none" w:sz="0" w:space="0" w:color="auto"/>
            <w:left w:val="none" w:sz="0" w:space="0" w:color="auto"/>
            <w:bottom w:val="none" w:sz="0" w:space="0" w:color="auto"/>
            <w:right w:val="none" w:sz="0" w:space="0" w:color="auto"/>
          </w:divBdr>
        </w:div>
      </w:divsChild>
    </w:div>
    <w:div w:id="1621061921">
      <w:bodyDiv w:val="1"/>
      <w:marLeft w:val="0"/>
      <w:marRight w:val="0"/>
      <w:marTop w:val="0"/>
      <w:marBottom w:val="0"/>
      <w:divBdr>
        <w:top w:val="none" w:sz="0" w:space="0" w:color="auto"/>
        <w:left w:val="none" w:sz="0" w:space="0" w:color="auto"/>
        <w:bottom w:val="none" w:sz="0" w:space="0" w:color="auto"/>
        <w:right w:val="none" w:sz="0" w:space="0" w:color="auto"/>
      </w:divBdr>
      <w:divsChild>
        <w:div w:id="408426463">
          <w:marLeft w:val="0"/>
          <w:marRight w:val="0"/>
          <w:marTop w:val="0"/>
          <w:marBottom w:val="0"/>
          <w:divBdr>
            <w:top w:val="none" w:sz="0" w:space="0" w:color="auto"/>
            <w:left w:val="none" w:sz="0" w:space="0" w:color="auto"/>
            <w:bottom w:val="none" w:sz="0" w:space="0" w:color="auto"/>
            <w:right w:val="none" w:sz="0" w:space="0" w:color="auto"/>
          </w:divBdr>
        </w:div>
      </w:divsChild>
    </w:div>
    <w:div w:id="1628927877">
      <w:bodyDiv w:val="1"/>
      <w:marLeft w:val="0"/>
      <w:marRight w:val="0"/>
      <w:marTop w:val="0"/>
      <w:marBottom w:val="0"/>
      <w:divBdr>
        <w:top w:val="none" w:sz="0" w:space="0" w:color="auto"/>
        <w:left w:val="none" w:sz="0" w:space="0" w:color="auto"/>
        <w:bottom w:val="none" w:sz="0" w:space="0" w:color="auto"/>
        <w:right w:val="none" w:sz="0" w:space="0" w:color="auto"/>
      </w:divBdr>
    </w:div>
    <w:div w:id="1774402053">
      <w:bodyDiv w:val="1"/>
      <w:marLeft w:val="0"/>
      <w:marRight w:val="0"/>
      <w:marTop w:val="0"/>
      <w:marBottom w:val="0"/>
      <w:divBdr>
        <w:top w:val="none" w:sz="0" w:space="0" w:color="auto"/>
        <w:left w:val="none" w:sz="0" w:space="0" w:color="auto"/>
        <w:bottom w:val="none" w:sz="0" w:space="0" w:color="auto"/>
        <w:right w:val="none" w:sz="0" w:space="0" w:color="auto"/>
      </w:divBdr>
    </w:div>
    <w:div w:id="1967851817">
      <w:bodyDiv w:val="1"/>
      <w:marLeft w:val="0"/>
      <w:marRight w:val="0"/>
      <w:marTop w:val="0"/>
      <w:marBottom w:val="0"/>
      <w:divBdr>
        <w:top w:val="none" w:sz="0" w:space="0" w:color="auto"/>
        <w:left w:val="none" w:sz="0" w:space="0" w:color="auto"/>
        <w:bottom w:val="none" w:sz="0" w:space="0" w:color="auto"/>
        <w:right w:val="none" w:sz="0" w:space="0" w:color="auto"/>
      </w:divBdr>
    </w:div>
    <w:div w:id="201013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mina-intelligence.com/" TargetMode="External"/><Relationship Id="rId3" Type="http://schemas.openxmlformats.org/officeDocument/2006/relationships/settings" Target="settings.xml"/><Relationship Id="rId7" Type="http://schemas.openxmlformats.org/officeDocument/2006/relationships/hyperlink" Target="https://store.lumina-intelligence.com/product/the-modern-uk-consumer-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ca.ricocastrillo@lumina-intelligence.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Rigali</dc:creator>
  <cp:keywords/>
  <dc:description/>
  <cp:lastModifiedBy>Monica Rico Castrillo</cp:lastModifiedBy>
  <cp:revision>4</cp:revision>
  <dcterms:created xsi:type="dcterms:W3CDTF">2026-04-21T11:28:00Z</dcterms:created>
  <dcterms:modified xsi:type="dcterms:W3CDTF">2026-04-28T09:41:00Z</dcterms:modified>
</cp:coreProperties>
</file>